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b/>
          <w:bCs/>
          <w:color w:val="1F6357"/>
          <w:sz w:val="20"/>
          <w:szCs w:val="20"/>
        </w:rPr>
        <w:t xml:space="preserve">MINISTÉRIO DA EDUCAÇÃO</w:t>
      </w:r>
    </w:p>
    <w:p>
      <w:pPr>
        <w:spacing w:after="300"/>
        <w:jc w:val="center"/>
      </w:pPr>
      <w:r>
        <w:rPr>
          <w:color w:val="595959"/>
          <w:sz w:val="18"/>
          <w:szCs w:val="18"/>
        </w:rPr>
        <w:t xml:space="preserve">Secretaria de Educação Profissional e Tecnológica - Setec</w:t>
      </w:r>
    </w:p>
    <w:p>
      <w:pPr>
        <w:spacing w:after="100"/>
        <w:jc w:val="center"/>
      </w:pPr>
      <w:r>
        <w:rPr>
          <w:b/>
          <w:bCs/>
          <w:color w:val="1F6357"/>
          <w:sz w:val="36"/>
          <w:szCs w:val="36"/>
        </w:rPr>
        <w:t xml:space="preserve">PLANO DE TRABALHO</w:t>
      </w:r>
    </w:p>
    <w:p>
      <w:pPr>
        <w:spacing w:after="60"/>
        <w:jc w:val="center"/>
      </w:pPr>
      <w:r>
        <w:rPr>
          <w:b/>
          <w:bCs/>
          <w:color w:val="000000"/>
          <w:sz w:val="26"/>
          <w:szCs w:val="26"/>
        </w:rPr>
        <w:t xml:space="preserve">Programa de Integração Binacional IFSul - UTU: Fronteiras em Movimento</w:t>
      </w:r>
    </w:p>
    <w:p>
      <w:pPr>
        <w:spacing w:after="400"/>
        <w:jc w:val="center"/>
      </w:pPr>
      <w:r>
        <w:rPr>
          <w:i/>
          <w:iCs/>
          <w:color w:val="595959"/>
          <w:sz w:val="20"/>
          <w:szCs w:val="20"/>
        </w:rPr>
        <w:t xml:space="preserve">Termo de Execução Descentralizada (TED) - Plataforma TransfereGov</w:t>
      </w:r>
    </w:p>
    <w:p>
      <w:pPr>
        <w:spacing w:after="160" w:line="276"/>
      </w:pPr>
      <w:r>
        <w:rPr>
          <w:b w:val="false"/>
          <w:bCs w:val="false"/>
          <w:i/>
          <w:iCs/>
          <w:color w:val="C00000"/>
          <w:sz w:val="22"/>
          <w:szCs w:val="22"/>
        </w:rPr>
        <w:t xml:space="preserve">Documento em fase de elaboração. Os campos e valores destacados em vermelho são premissas de trabalho e devem ser confirmados ou ajustados pela equipe do projeto antes da submissão formal na plataforma TransfereGov.</w:t>
      </w:r>
    </w:p>
    <w:p>
      <w:r>
        <w:br w:type="page"/>
      </w:r>
    </w:p>
    <w:p>
      <w:pPr>
        <w:pStyle w:val="Heading1"/>
      </w:pPr>
      <w:r>
        <w:t xml:space="preserve">1. Identificação do Projeto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6360"/>
      </w:tblGrid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Nome do Projeto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>Programa de Integração Binacional IFSul - UTU: Fronteiras em Movimento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Instituição Proponente/Executora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>Instituto Federal de Educação, Ciência e Tecnologia Sul-rio-grandense (IFSul)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Órgão Financiador/Parceiro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>Secretaria de Educação Profissional e Tecnológica - Setec/MEC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Instrumento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>Termo de Execução Descentralizada (TED) - Plataforma TransfereGov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Número do TED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/>
                <w:iCs/>
                <w:color w:val="C00000"/>
                <w:sz w:val="19"/>
                <w:szCs w:val="19"/>
              </w:rPr>
              <w:t xml:space="preserve">[a preencher após formalização]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Vigência - Início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>Abril de 2026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Vigência - Fim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9"/>
                <w:szCs w:val="19"/>
              </w:rPr>
              <w:t xml:space="preserve">Novembro de 2026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Valor Total Previsto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/>
                <w:iCs/>
                <w:color w:val="C00000"/>
                <w:sz w:val="19"/>
                <w:szCs w:val="19"/>
              </w:rPr>
              <w:t xml:space="preserve">R$ 100.000,00 [a confirmar conforme descentralização]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Responsável Técnico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/>
                <w:iCs/>
                <w:color w:val="C00000"/>
                <w:sz w:val="19"/>
                <w:szCs w:val="19"/>
              </w:rPr>
              <w:t xml:space="preserve">[nome do coordenador do projeto]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E-mail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/>
                <w:iCs/>
                <w:color w:val="C00000"/>
                <w:sz w:val="19"/>
                <w:szCs w:val="19"/>
              </w:rPr>
              <w:t xml:space="preserve">[e-mail institucional]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Responsável Financeiro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/>
                <w:iCs/>
                <w:color w:val="C00000"/>
                <w:sz w:val="19"/>
                <w:szCs w:val="19"/>
              </w:rPr>
              <w:t xml:space="preserve">[nome do responsável financeiro / Pró-Reitoria de Administração]</w:t>
            </w:r>
          </w:p>
        </w:tc>
      </w:tr>
      <w:tr>
        <w:tc>
          <w:tcPr>
            <w:tcW w:type="dxa" w:w="3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E-mail</w:t>
            </w:r>
          </w:p>
        </w:tc>
        <w:tc>
          <w:tcPr>
            <w:tcW w:type="dxa" w:w="6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/>
                <w:iCs/>
                <w:color w:val="C00000"/>
                <w:sz w:val="19"/>
                <w:szCs w:val="19"/>
              </w:rPr>
              <w:t xml:space="preserve">[e-mail institucional]</w:t>
            </w:r>
          </w:p>
        </w:tc>
      </w:tr>
    </w:tbl>
    <w:p>
      <w:pPr>
        <w:pStyle w:val="Heading1"/>
      </w:pPr>
      <w:r>
        <w:t xml:space="preserve">2. Justificativa</w:t>
      </w:r>
    </w:p>
    <w:p>
      <w:pPr>
        <w:spacing w:after="160" w:line="276"/>
      </w:pPr>
      <w:r>
        <w:rPr>
          <w:b w:val="false"/>
          <w:bCs w:val="false"/>
          <w:i w:val="false"/>
          <w:iCs w:val="false"/>
          <w:color w:val="000000"/>
          <w:sz w:val="22"/>
          <w:szCs w:val="22"/>
        </w:rPr>
        <w:t xml:space="preserve">O Programa de Integração Binacional IFSul - UTU: Fronteiras em Movimento constitui-se como iniciativa estratégica de extensão voltada ao fortalecimento contínuo da cooperação entre o IFSul e a Universidad del Trabajo del Uruguay (UTU). Estruturado como programa guarda-chuva, articula ações formativas, acadêmicas e culturais que promovem a internacionalização em perspectiva territorial.</w:t>
      </w:r>
    </w:p>
    <w:p>
      <w:pPr>
        <w:spacing w:after="160" w:line="276"/>
      </w:pPr>
      <w:r>
        <w:rPr>
          <w:b w:val="false"/>
          <w:bCs w:val="false"/>
          <w:i w:val="false"/>
          <w:iCs w:val="false"/>
          <w:color w:val="000000"/>
          <w:sz w:val="22"/>
          <w:szCs w:val="22"/>
        </w:rPr>
        <w:t xml:space="preserve">Em seu ciclo inicial, o programa incorpora as comemorações dos 20 anos da parceria binacional como marco mobilizador, por meio de três frentes de ação: a realização de uma cerimônia institucional comemorativa, a II Jornada do Laboratório Binacional de Restauro de Jaguarão e um programa de mobilidade estudantil de curta duração. Essas ações inauguram um conjunto de práticas com potencial de continuidade e ampliação, contribuindo para a consolidação das políticas de internacionalização do IFSul e para o estreitamento das relações de cooperação entre Brasil e Uruguai.</w:t>
      </w:r>
    </w:p>
    <w:p>
      <w:pPr>
        <w:pStyle w:val="Heading1"/>
      </w:pPr>
      <w:r>
        <w:t xml:space="preserve">3. Objetivo Geral</w:t>
      </w:r>
    </w:p>
    <w:p>
      <w:pPr>
        <w:spacing w:after="160" w:line="276"/>
      </w:pPr>
      <w:r>
        <w:rPr>
          <w:b w:val="false"/>
          <w:bCs w:val="false"/>
          <w:i w:val="false"/>
          <w:iCs w:val="false"/>
          <w:color w:val="000000"/>
          <w:sz w:val="22"/>
          <w:szCs w:val="22"/>
        </w:rPr>
        <w:t xml:space="preserve">Fortalecer e ampliar a cooperação binacional entre o IFSul e a UTU, consolidando o programa guarda-chuva de internacionalização territorial, tomando os 20 anos da parceria como marco mobilizador, por meio de ações institucionais, acadêmico-técnicas e de mobilidade estudantil.</w:t>
      </w:r>
    </w:p>
    <w:p>
      <w:pPr>
        <w:pStyle w:val="Heading2"/>
      </w:pPr>
      <w:r>
        <w:t xml:space="preserve">3.1 Objetivos Específicos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000000"/>
          <w:sz w:val="22"/>
          <w:szCs w:val="22"/>
        </w:rPr>
        <w:t xml:space="preserve">Promover ação institucional de celebração e fortalecimento dos vínculos binacionais entre o IFSul e a UTU.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000000"/>
          <w:sz w:val="22"/>
          <w:szCs w:val="22"/>
        </w:rPr>
        <w:t xml:space="preserve">Ampliar a cooperação acadêmico-técnica na área de preservação, conservação e restauro do patrimônio cultural em contexto binacional.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000000"/>
          <w:sz w:val="22"/>
          <w:szCs w:val="22"/>
        </w:rPr>
        <w:t xml:space="preserve">Viabilizar a mobilidade estudantil de curta duração, ampliando a formação cidadã, técnica e intercultural dos estudantes envolvidos.</w:t>
      </w:r>
    </w:p>
    <w:p>
      <w:pPr>
        <w:pStyle w:val="Heading1"/>
      </w:pPr>
      <w:r>
        <w:t xml:space="preserve">4. Metas, Produtos e Cronograma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100"/>
        <w:gridCol w:w="4360"/>
        <w:gridCol w:w="1500"/>
        <w:gridCol w:w="2400"/>
      </w:tblGrid>
      <w:tr>
        <w:tc>
          <w:tcPr>
            <w:tcW w:type="dxa" w:w="11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Meta</w:t>
            </w:r>
          </w:p>
        </w:tc>
        <w:tc>
          <w:tcPr>
            <w:tcW w:type="dxa" w:w="4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Descrição / Produto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Período Previsto</w:t>
            </w:r>
          </w:p>
        </w:tc>
        <w:tc>
          <w:tcPr>
            <w:tcW w:type="dxa" w:w="24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Indicador de Cumprimento</w:t>
            </w:r>
          </w:p>
        </w:tc>
      </w:tr>
      <w:tr>
        <w:tc>
          <w:tcPr>
            <w:tcW w:type="dxa" w:w="11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Meta 1</w:t>
            </w:r>
          </w:p>
        </w:tc>
        <w:tc>
          <w:tcPr>
            <w:tcW w:type="dxa" w:w="4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sz w:val="18"/>
                <w:szCs w:val="18"/>
              </w:rPr>
              <w:t xml:space="preserve">Realizar cerimônia institucional binacional entre o IFSul e a UTU, reunindo autoridades, gestores e parceiros institucionais, em celebração aos 20 anos de parceria binacional.</w:t>
            </w:r>
          </w:p>
          <w:p>
            <w:r>
              <w:rPr>
                <w:b/>
                <w:bCs/>
                <w:sz w:val="18"/>
                <w:szCs w:val="18"/>
              </w:rPr>
              <w:t xml:space="preserve">Produto: Cerimônia institucional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Maio/2026</w:t>
            </w:r>
          </w:p>
        </w:tc>
        <w:tc>
          <w:tcPr>
            <w:tcW w:type="dxa" w:w="24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Evento realizado; ata de registro; lista de presença de autoridades e parceiros; registro fotográfico</w:t>
            </w:r>
          </w:p>
        </w:tc>
      </w:tr>
      <w:tr>
        <w:tc>
          <w:tcPr>
            <w:tcW w:type="dxa" w:w="11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Meta 2</w:t>
            </w:r>
          </w:p>
        </w:tc>
        <w:tc>
          <w:tcPr>
            <w:tcW w:type="dxa" w:w="4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sz w:val="18"/>
                <w:szCs w:val="18"/>
              </w:rPr>
              <w:t xml:space="preserve">Promover a realização da II Jornada do Laboratório Binacional de Restauro de Jaguarão, reunindo estudantes, docentes, pesquisadores e instituições parceiras do Brasil e do Uruguai.</w:t>
            </w:r>
          </w:p>
          <w:p>
            <w:r>
              <w:rPr>
                <w:b/>
                <w:bCs/>
                <w:sz w:val="18"/>
                <w:szCs w:val="18"/>
              </w:rPr>
              <w:t xml:space="preserve">Produto: II Jornada do Laboratório Binacional de Restauro de Jaguarão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Agosto/2026</w:t>
            </w:r>
          </w:p>
        </w:tc>
        <w:tc>
          <w:tcPr>
            <w:tcW w:type="dxa" w:w="24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Evento realizado; protocolos assinados; lista de presença; material de divulgação</w:t>
            </w:r>
          </w:p>
        </w:tc>
      </w:tr>
      <w:tr>
        <w:tc>
          <w:tcPr>
            <w:tcW w:type="dxa" w:w="11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9"/>
                <w:szCs w:val="19"/>
              </w:rPr>
              <w:t xml:space="preserve">Meta 3</w:t>
            </w:r>
          </w:p>
        </w:tc>
        <w:tc>
          <w:tcPr>
            <w:tcW w:type="dxa" w:w="4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sz w:val="18"/>
                <w:szCs w:val="18"/>
              </w:rPr>
              <w:t xml:space="preserve">Promover a mobilidade estudantil binacional de curta duração entre o IFSul e a UTU, ampliando a formação cidadã, técnica e intercultural dos estudantes.</w:t>
            </w:r>
          </w:p>
          <w:p>
            <w:r>
              <w:rPr>
                <w:b/>
                <w:bCs/>
                <w:sz w:val="18"/>
                <w:szCs w:val="18"/>
              </w:rPr>
              <w:t xml:space="preserve">Produto: Programa de mobilidade estudantil binacional de curto prazo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Outubro/2026</w:t>
            </w:r>
          </w:p>
        </w:tc>
        <w:tc>
          <w:tcPr>
            <w:tcW w:type="dxa" w:w="24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Nº de estudantes mobilizados; relatórios de mobilidade; certificados emitidos</w:t>
            </w:r>
          </w:p>
        </w:tc>
      </w:tr>
    </w:tbl>
    <w:p>
      <w:r>
        <w:br w:type="page"/>
      </w:r>
    </w:p>
    <w:p>
      <w:pPr>
        <w:pStyle w:val="Heading1"/>
      </w:pPr>
      <w:r>
        <w:t xml:space="preserve">5. Plano de Aplicação Detalhado por Natureza de Despesa</w:t>
      </w:r>
    </w:p>
    <w:p>
      <w:pPr>
        <w:spacing w:after="160" w:line="276"/>
      </w:pPr>
      <w:r>
        <w:rPr>
          <w:b w:val="false"/>
          <w:bCs w:val="false"/>
          <w:i w:val="false"/>
          <w:iCs w:val="false"/>
          <w:color w:val="000000"/>
          <w:sz w:val="22"/>
          <w:szCs w:val="22"/>
        </w:rPr>
        <w:t xml:space="preserve">A tabela abaixo detalha a distribuição do valor total previsto (R$ 100.000,00) entre as naturezas de despesa, vinculando cada item à meta que sustenta.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60"/>
        <w:gridCol w:w="1500"/>
        <w:gridCol w:w="1500"/>
        <w:gridCol w:w="1500"/>
        <w:gridCol w:w="1500"/>
      </w:tblGrid>
      <w:tr>
        <w:tc>
          <w:tcPr>
            <w:tcW w:type="dxa" w:w="3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Natureza de Despesa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Meta 1 - Cerimônia (R$)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Meta 2 - Jornada (R$)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Meta 3 - Mobilidade (R$)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Total (R$)</w:t>
            </w:r>
          </w:p>
        </w:tc>
      </w:tr>
      <w:tr>
        <w:tc>
          <w:tcPr>
            <w:tcW w:type="dxa" w:w="3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Material de Consumo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5.000,00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10.000,00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15.000,00</w:t>
            </w:r>
          </w:p>
        </w:tc>
      </w:tr>
      <w:tr>
        <w:tc>
          <w:tcPr>
            <w:tcW w:type="dxa" w:w="3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Serviços de Terceiros (Pessoa Jurídica)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7.500,00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7.500,00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15.000,00</w:t>
            </w:r>
          </w:p>
        </w:tc>
      </w:tr>
      <w:tr>
        <w:tc>
          <w:tcPr>
            <w:tcW w:type="dxa" w:w="3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Diárias Nacionais (convidados/servidores deslocados)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2.500,00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7.500,00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10.000,00</w:t>
            </w:r>
          </w:p>
        </w:tc>
      </w:tr>
      <w:tr>
        <w:tc>
          <w:tcPr>
            <w:tcW w:type="dxa" w:w="3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Diárias Internacionais (acompanhamento da mobilidade)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17.500,00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17.500,00</w:t>
            </w:r>
          </w:p>
        </w:tc>
      </w:tr>
      <w:tr>
        <w:tc>
          <w:tcPr>
            <w:tcW w:type="dxa" w:w="3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Passagens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5.000,00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5.000,00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10.000,00</w:t>
            </w:r>
          </w:p>
        </w:tc>
      </w:tr>
      <w:tr>
        <w:tc>
          <w:tcPr>
            <w:tcW w:type="dxa" w:w="3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Bolsas - Auxílio Financeiro a Estudante (mobilidade)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20.000,00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20.000,00</w:t>
            </w:r>
          </w:p>
        </w:tc>
      </w:tr>
      <w:tr>
        <w:tc>
          <w:tcPr>
            <w:tcW w:type="dxa" w:w="3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Outros Auxílios (seguro viagem, reserva técnica)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12.500,00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12.500,00</w:t>
            </w:r>
          </w:p>
        </w:tc>
      </w:tr>
      <w:tr>
        <w:tc>
          <w:tcPr>
            <w:tcW w:type="dxa" w:w="3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Subtotal por Meta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15.000,00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30.000,00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55.000,00</w:t>
            </w:r>
          </w:p>
        </w:tc>
        <w:tc>
          <w:tcPr>
            <w:tcW w:type="dxa" w:w="15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E3EEEC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100.000,00</w:t>
            </w:r>
          </w:p>
        </w:tc>
      </w:tr>
    </w:tbl>
    <w:p>
      <w:pPr>
        <w:pStyle w:val="Heading2"/>
      </w:pPr>
      <w:r>
        <w:t xml:space="preserve">5.1 Premissas de Cálculo Adotadas</w:t>
      </w:r>
    </w:p>
    <w:p>
      <w:pPr>
        <w:spacing w:after="220" w:before="60"/>
      </w:pPr>
      <w:r>
        <w:rPr>
          <w:i/>
          <w:iCs/>
          <w:color w:val="C00000"/>
          <w:sz w:val="19"/>
          <w:szCs w:val="19"/>
        </w:rPr>
        <w:t xml:space="preserve">Os itens abaixo são premissas de trabalho utilizadas para fins de esboço orçamentário e devem ser confirmadas pela coordenação do projeto antes da submissão formal.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Mobilidade estudantil: estimativa de 10 estudantes, com bolsa individual de R$ 2.000,00, totalizando R$ 20.000,00.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Diárias internacionais: estimativa de 2 servidores acompanhantes, por 5 dias cada (10 diárias-pessoa), a uma diária de R$ 1.750,00, totalizando R$ 17.500,00. Valor de diária a confirmar conforme tabela oficial vigente para o Uruguai.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Outros auxílios (seguro viagem, reserva técnica): estimativa de R$ 1.250,00 por estudante (10 estudantes), totalizando R$ 12.500,00.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Diárias nacionais: cobrem convidados externos (autoridades, representantes da UTU, parceiros) e servidores do IFSul deslocados de campi diferentes do local do evento; servidores lotados no campus sede não fazem jus a diária.</w:t>
      </w:r>
    </w:p>
    <w:p>
      <w:pPr>
        <w:pStyle w:val="Heading1"/>
      </w:pPr>
      <w:r>
        <w:t xml:space="preserve">6. Cronograma Físico-Financeiro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360"/>
        <w:gridCol w:w="2000"/>
        <w:gridCol w:w="2000"/>
      </w:tblGrid>
      <w:tr>
        <w:tc>
          <w:tcPr>
            <w:tcW w:type="dxa" w:w="5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Etapa / Fase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Período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shd w:fill="1F6357" w:val="clear"/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r>
              <w:rPr>
                <w:b/>
                <w:bCs/>
                <w:color w:val="FFFFFF"/>
                <w:sz w:val="19"/>
                <w:szCs w:val="19"/>
              </w:rPr>
              <w:t xml:space="preserve">Valor a Desembolsar (R$)</w:t>
            </w:r>
          </w:p>
        </w:tc>
      </w:tr>
      <w:tr>
        <w:tc>
          <w:tcPr>
            <w:tcW w:type="dxa" w:w="5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Etapa 1 - Planejamento e organização da Cerimônia Institucional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Abril/2026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15.000,00</w:t>
            </w:r>
          </w:p>
        </w:tc>
      </w:tr>
      <w:tr>
        <w:tc>
          <w:tcPr>
            <w:tcW w:type="dxa" w:w="5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Etapa 2 - Realização da Cerimônia Institucional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Maio/2026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(execução da Etapa 1)</w:t>
            </w:r>
          </w:p>
        </w:tc>
      </w:tr>
      <w:tr>
        <w:tc>
          <w:tcPr>
            <w:tcW w:type="dxa" w:w="5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Etapa 3 - Planejamento e organização da II Jornada de Restauro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Junho a Julho/2026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30.000,00</w:t>
            </w:r>
          </w:p>
        </w:tc>
      </w:tr>
      <w:tr>
        <w:tc>
          <w:tcPr>
            <w:tcW w:type="dxa" w:w="5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Etapa 4 - Realização da II Jornada do Laboratório Binacional de Restauro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Agosto/2026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(execução da Etapa 3)</w:t>
            </w:r>
          </w:p>
        </w:tc>
      </w:tr>
      <w:tr>
        <w:tc>
          <w:tcPr>
            <w:tcW w:type="dxa" w:w="5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Etapa 5 - Seleção e preparação da mobilidade estudantil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Setembro/2026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55.000,00</w:t>
            </w:r>
          </w:p>
        </w:tc>
      </w:tr>
      <w:tr>
        <w:tc>
          <w:tcPr>
            <w:tcW w:type="dxa" w:w="5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Etapa 6 - Execução da mobilidade estudantil binacional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Outubro/2026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(execução da Etapa 5)</w:t>
            </w:r>
          </w:p>
        </w:tc>
      </w:tr>
      <w:tr>
        <w:tc>
          <w:tcPr>
            <w:tcW w:type="dxa" w:w="536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Etapa 7 - Sistematização de resultados e prestação de contas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Novembro/2026</w:t>
            </w:r>
          </w:p>
        </w:tc>
        <w:tc>
          <w:tcPr>
            <w:tcW w:type="dxa" w:w="2000"/>
            <w:tcBorders>
              <w:top w:val="single" w:color="BFBFBF" w:sz="2"/>
              <w:left w:val="single" w:color="BFBFBF" w:sz="2"/>
              <w:bottom w:val="single" w:color="BFBFBF" w:sz="2"/>
              <w:right w:val="single" w:color="BFBFBF" w:sz="2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jc w:val="righ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-</w:t>
            </w:r>
          </w:p>
        </w:tc>
      </w:tr>
    </w:tbl>
    <w:p>
      <w:pPr>
        <w:pStyle w:val="Heading1"/>
      </w:pPr>
      <w:r>
        <w:t xml:space="preserve">7. Contrapartida Institucional</w:t>
      </w:r>
    </w:p>
    <w:p>
      <w:pPr>
        <w:spacing w:after="160" w:line="276"/>
      </w:pPr>
      <w:r>
        <w:rPr>
          <w:b w:val="false"/>
          <w:bCs w:val="false"/>
          <w:i w:val="false"/>
          <w:iCs w:val="false"/>
          <w:color w:val="000000"/>
          <w:sz w:val="22"/>
          <w:szCs w:val="22"/>
        </w:rPr>
        <w:t xml:space="preserve">Sugere-se a declaração de contrapartida institucional não financeira, sem ônus adicional ao TED, contemplando: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Cessão de espaço físico (auditório, salas de aula e Laboratório Binacional de Restauro);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Recursos humanos próprios já remunerados pelo orçamento ordinário do IFSul (coordenação do projeto, equipe de comunicação institucional, equipe pedagógica de acompanhamento);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Apoio logístico institucional (transporte interno, infraestrutura de TI e audiovisual).</w:t>
      </w:r>
    </w:p>
    <w:p>
      <w:pPr>
        <w:spacing w:after="220" w:before="60"/>
      </w:pPr>
      <w:r>
        <w:rPr>
          <w:i/>
          <w:iCs/>
          <w:color w:val="C00000"/>
          <w:sz w:val="19"/>
          <w:szCs w:val="19"/>
        </w:rPr>
        <w:t xml:space="preserve">Confirmar junto à Pró-Reitoria/Diretoria responsável se haverá também contrapartida financeira do IFSul, para fins de registro formal no TED.</w:t>
      </w:r>
    </w:p>
    <w:p>
      <w:pPr>
        <w:pStyle w:val="Heading1"/>
      </w:pPr>
      <w:r>
        <w:t xml:space="preserve">8. Pontos Pendentes de Confirmação</w:t>
      </w:r>
    </w:p>
    <w:p>
      <w:pPr>
        <w:spacing w:after="160" w:line="276"/>
      </w:pPr>
      <w:r>
        <w:rPr>
          <w:b w:val="false"/>
          <w:bCs w:val="false"/>
          <w:i w:val="false"/>
          <w:iCs w:val="false"/>
          <w:color w:val="000000"/>
          <w:sz w:val="22"/>
          <w:szCs w:val="22"/>
        </w:rPr>
        <w:t xml:space="preserve">Antes da submissão formal do Plano de Trabalho na plataforma TransfereGov, recomenda-se confirmar: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Número definitivo de estudantes participantes da mobilidade estudantil;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Número e perfil dos servidores que realizarão acompanhamento internacional;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Definição final sobre contrapartida institucional (financeira e/ou não financeira);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Valor de diária internacional aplicável, conforme país de destino e categoria funcional dos servidores;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Valor efetivo de descentralização aprovado pela Setec/MEC para o TED;</w:t>
      </w:r>
    </w:p>
    <w:p>
      <w:pPr>
        <w:pStyle w:val="ListParagraph"/>
        <w:numPr>
          <w:ilvl w:val="0"/>
          <w:numId w:val="2"/>
        </w:numPr>
        <w:spacing w:after="100" w:line="276"/>
      </w:pPr>
      <w:r>
        <w:rPr>
          <w:i w:val="false"/>
          <w:iCs w:val="false"/>
          <w:color w:val="C00000"/>
          <w:sz w:val="22"/>
          <w:szCs w:val="22"/>
        </w:rPr>
        <w:t xml:space="preserve">Nomes e e-mails dos responsáveis técnico e financeiro do projeto.</w:t>
      </w:r>
    </w:p>
    <w:sectPr>
      <w:headerReference w:type="default" r:id="rId7"/>
      <w:footerReference w:type="default" r:id="rId8"/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808080"/>
        <w:sz w:val="16"/>
        <w:szCs w:val="16"/>
      </w:rPr>
      <w:t xml:space="preserve">Página </w:t>
    </w:r>
    <w:r>
      <w:rPr>
        <w:color w:val="808080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color w:val="808080"/>
        <w:sz w:val="16"/>
        <w:szCs w:val="16"/>
      </w:rPr>
      <w:t xml:space="preserve"> de </w:t>
    </w:r>
    <w:r>
      <w:rPr>
        <w:color w:val="808080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808080"/>
        <w:sz w:val="16"/>
        <w:szCs w:val="16"/>
      </w:rPr>
      <w:t xml:space="preserve">Ministério da Educação | Setec | TED IFSul-UTU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pBdr>
        <w:bottom w:val="single" w:color="1F6357" w:sz="6" w:space="4"/>
      </w:pBdr>
      <w:spacing w:after="200" w:before="360"/>
      <w:outlineLvl w:val="0"/>
    </w:pPr>
    <w:rPr>
      <w:rFonts w:ascii="Arial" w:cs="Arial" w:eastAsia="Arial" w:hAnsi="Arial"/>
      <w:b/>
      <w:bCs/>
      <w:color w:val="1F6357"/>
      <w:sz w:val="28"/>
      <w:szCs w:val="28"/>
    </w:rPr>
  </w:style>
  <w:style w:type="paragraph" w:styleId="Heading2">
    <w:name w:val="Heading 2"/>
    <w:basedOn w:val="Normal"/>
    <w:next w:val="Normal"/>
    <w:qFormat/>
    <w:pPr>
      <w:spacing w:after="140" w:before="240"/>
      <w:outlineLvl w:val="1"/>
    </w:pPr>
    <w:rPr>
      <w:rFonts w:ascii="Arial" w:cs="Arial" w:eastAsia="Arial" w:hAnsi="Arial"/>
      <w:b/>
      <w:bCs/>
      <w:color w:val="1F6357"/>
      <w:sz w:val="23"/>
      <w:szCs w:val="23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2026-06-21T20:29:58.097Z</dcterms:created>
  <dcterms:modified xsi:type="dcterms:W3CDTF">2026-06-21T20:29:58.097Z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