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AB6" w:rsidRDefault="00397AB6" w:rsidP="00397AB6">
      <w:pPr>
        <w:spacing w:before="120" w:after="120"/>
        <w:ind w:left="2832" w:firstLine="708"/>
        <w:rPr>
          <w:rFonts w:cs="Arial"/>
          <w:b/>
          <w:sz w:val="24"/>
        </w:rPr>
      </w:pPr>
      <w:bookmarkStart w:id="0" w:name="_GoBack"/>
      <w:bookmarkEnd w:id="0"/>
      <w:r w:rsidRPr="00397AB6">
        <w:rPr>
          <w:rFonts w:cs="Arial"/>
          <w:b/>
          <w:sz w:val="24"/>
        </w:rPr>
        <w:t>Anexo III – Diretrizes do Impedimento de Licitar</w:t>
      </w:r>
    </w:p>
    <w:tbl>
      <w:tblPr>
        <w:tblpPr w:leftFromText="141" w:rightFromText="141" w:vertAnchor="page" w:horzAnchor="margin" w:tblpY="2221"/>
        <w:tblW w:w="4888" w:type="pct"/>
        <w:tblBorders>
          <w:insideH w:val="single" w:sz="18" w:space="0" w:color="FFFFFF"/>
          <w:insideV w:val="single" w:sz="18" w:space="0" w:color="FFFFFF"/>
        </w:tblBorders>
        <w:tblLook w:val="04A0" w:firstRow="1" w:lastRow="0" w:firstColumn="1" w:lastColumn="0" w:noHBand="0" w:noVBand="1"/>
      </w:tblPr>
      <w:tblGrid>
        <w:gridCol w:w="3308"/>
        <w:gridCol w:w="1035"/>
        <w:gridCol w:w="5429"/>
        <w:gridCol w:w="3918"/>
      </w:tblGrid>
      <w:tr w:rsidR="00397AB6" w:rsidRPr="00B4236D" w:rsidTr="002012AF">
        <w:tc>
          <w:tcPr>
            <w:tcW w:w="1208" w:type="pct"/>
            <w:shd w:val="pct20" w:color="000000" w:fill="FFFFFF"/>
          </w:tcPr>
          <w:p w:rsidR="00397AB6" w:rsidRPr="00B4236D" w:rsidRDefault="00397AB6" w:rsidP="002012AF">
            <w:pPr>
              <w:tabs>
                <w:tab w:val="left" w:pos="1139"/>
                <w:tab w:val="center" w:pos="1664"/>
              </w:tabs>
              <w:rPr>
                <w:rFonts w:eastAsia="Calibri" w:cs="Arial"/>
                <w:b/>
                <w:bCs/>
                <w:szCs w:val="20"/>
              </w:rPr>
            </w:pPr>
            <w:r w:rsidRPr="00B4236D">
              <w:rPr>
                <w:rFonts w:eastAsia="Calibri" w:cs="Arial"/>
                <w:b/>
                <w:bCs/>
                <w:szCs w:val="20"/>
              </w:rPr>
              <w:tab/>
            </w:r>
            <w:r w:rsidRPr="00B4236D">
              <w:rPr>
                <w:rFonts w:eastAsia="Calibri" w:cs="Arial"/>
                <w:b/>
                <w:bCs/>
                <w:szCs w:val="20"/>
              </w:rPr>
              <w:tab/>
              <w:t>Condutas</w:t>
            </w:r>
          </w:p>
        </w:tc>
        <w:tc>
          <w:tcPr>
            <w:tcW w:w="378" w:type="pct"/>
            <w:shd w:val="pct20" w:color="000000" w:fill="FFFFFF"/>
          </w:tcPr>
          <w:p w:rsidR="00397AB6" w:rsidRPr="00B4236D" w:rsidRDefault="00397AB6" w:rsidP="002012AF">
            <w:pPr>
              <w:jc w:val="center"/>
              <w:rPr>
                <w:rFonts w:eastAsia="Calibri" w:cs="Arial"/>
                <w:b/>
                <w:bCs/>
                <w:szCs w:val="20"/>
              </w:rPr>
            </w:pPr>
            <w:r w:rsidRPr="00B4236D">
              <w:rPr>
                <w:rFonts w:eastAsia="Calibri" w:cs="Arial"/>
                <w:b/>
                <w:bCs/>
                <w:szCs w:val="20"/>
              </w:rPr>
              <w:t>Período</w:t>
            </w:r>
          </w:p>
        </w:tc>
        <w:tc>
          <w:tcPr>
            <w:tcW w:w="1983" w:type="pct"/>
            <w:shd w:val="pct20" w:color="000000" w:fill="FFFFFF"/>
          </w:tcPr>
          <w:p w:rsidR="00397AB6" w:rsidRPr="00B4236D" w:rsidRDefault="00397AB6" w:rsidP="002012AF">
            <w:pPr>
              <w:jc w:val="center"/>
              <w:rPr>
                <w:rFonts w:eastAsia="Calibri" w:cs="Arial"/>
                <w:b/>
                <w:bCs/>
                <w:szCs w:val="20"/>
                <w:vertAlign w:val="superscript"/>
              </w:rPr>
            </w:pPr>
            <w:r w:rsidRPr="00B4236D">
              <w:rPr>
                <w:rFonts w:eastAsia="Calibri" w:cs="Arial"/>
                <w:b/>
                <w:bCs/>
                <w:szCs w:val="20"/>
              </w:rPr>
              <w:t>Situações Agravantes</w:t>
            </w:r>
            <w:r w:rsidRPr="00B4236D">
              <w:rPr>
                <w:rFonts w:eastAsia="Calibri" w:cs="Arial"/>
                <w:b/>
                <w:bCs/>
                <w:szCs w:val="20"/>
                <w:vertAlign w:val="superscript"/>
              </w:rPr>
              <w:t>1</w:t>
            </w:r>
          </w:p>
        </w:tc>
        <w:tc>
          <w:tcPr>
            <w:tcW w:w="1431" w:type="pct"/>
            <w:shd w:val="pct20" w:color="000000" w:fill="FFFFFF"/>
          </w:tcPr>
          <w:p w:rsidR="00397AB6" w:rsidRPr="00B4236D" w:rsidRDefault="00397AB6" w:rsidP="002012AF">
            <w:pPr>
              <w:jc w:val="center"/>
              <w:rPr>
                <w:rFonts w:eastAsia="Calibri" w:cs="Arial"/>
                <w:b/>
                <w:bCs/>
                <w:szCs w:val="20"/>
                <w:vertAlign w:val="superscript"/>
              </w:rPr>
            </w:pPr>
            <w:r w:rsidRPr="00B4236D">
              <w:rPr>
                <w:rFonts w:eastAsia="Calibri" w:cs="Arial"/>
                <w:b/>
                <w:bCs/>
                <w:szCs w:val="20"/>
              </w:rPr>
              <w:t>Situações Atenuantes</w:t>
            </w:r>
            <w:r w:rsidRPr="00B4236D">
              <w:rPr>
                <w:rFonts w:eastAsia="Calibri" w:cs="Arial"/>
                <w:b/>
                <w:bCs/>
                <w:szCs w:val="20"/>
                <w:vertAlign w:val="superscript"/>
              </w:rPr>
              <w:t>2</w:t>
            </w:r>
          </w:p>
        </w:tc>
      </w:tr>
      <w:tr w:rsidR="00397AB6" w:rsidRPr="00B4236D" w:rsidTr="002012AF">
        <w:trPr>
          <w:trHeight w:val="857"/>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I - Não assinar o contrato/ata de registro de preços ou não aceitar/retirar o instrumento equivalente, quando convocado dentro do prazo de validade de sua proposta.</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4 meses</w:t>
            </w:r>
          </w:p>
        </w:tc>
        <w:tc>
          <w:tcPr>
            <w:tcW w:w="1983" w:type="pct"/>
            <w:vMerge w:val="restart"/>
            <w:shd w:val="pct5" w:color="000000" w:fill="FFFFFF"/>
          </w:tcPr>
          <w:p w:rsidR="00397AB6" w:rsidRPr="00B4236D" w:rsidRDefault="00397AB6" w:rsidP="002012AF">
            <w:pPr>
              <w:jc w:val="both"/>
              <w:rPr>
                <w:rFonts w:eastAsia="Calibri" w:cs="Arial"/>
                <w:szCs w:val="20"/>
              </w:rPr>
            </w:pPr>
            <w:r w:rsidRPr="00B4236D">
              <w:rPr>
                <w:rFonts w:eastAsia="Calibri" w:cs="Arial"/>
                <w:szCs w:val="20"/>
              </w:rPr>
              <w:t>Quando o licitante/contratado tenha registro no SICAF de penalidade aplicada no âmbito do IFSul em decorrência da prática de qualquer das condutas tipificadas na presente norma, nos 12 (doze) meses que antecederam o fato em decorrência do qual será aplicada a penalidade;</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Quando o licitante tenha sido desclassificado ou inabilitado por não atender às condições do edital, no caso de ser notória a sua impossibilidade de atendimento ao estabelecido;</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Quando o licitante, deliberadamente, não responder às diligências destinadas a esclarecer ou a complementar a instrução do processo licitatório; ou</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Quando o licitante tenha prestado declaração falsa de que é beneficiário do tratamento diferenciado concedido em legislação específica.</w:t>
            </w:r>
          </w:p>
        </w:tc>
        <w:tc>
          <w:tcPr>
            <w:tcW w:w="1431" w:type="pct"/>
            <w:vMerge w:val="restart"/>
            <w:shd w:val="pct5" w:color="000000" w:fill="FFFFFF"/>
          </w:tcPr>
          <w:p w:rsidR="00397AB6" w:rsidRPr="00B4236D" w:rsidRDefault="00397AB6" w:rsidP="002012AF">
            <w:pPr>
              <w:jc w:val="both"/>
              <w:rPr>
                <w:rFonts w:eastAsia="Calibri" w:cs="Arial"/>
                <w:szCs w:val="20"/>
              </w:rPr>
            </w:pPr>
            <w:r w:rsidRPr="00B4236D">
              <w:rPr>
                <w:rFonts w:eastAsia="Calibri" w:cs="Arial"/>
                <w:szCs w:val="20"/>
              </w:rPr>
              <w:t>A conduta praticada tenha sido, desde que devidamente comprovada, decorrente de falha escusável do licitante ou contratado.</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A conduta praticada seja decorrente da apresentação de documentação que contenha vícios ou omissões para os quais não tenha contribuído, ou que não sejam de fácil identificação, desde que devidamente comprovado.</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A conduta praticada seja decorrente da apresentação de documentação que não atendeu às exigências do edital, desde que reste evidenciado equívoco em seu encaminhamento e a ausência de dolo.</w:t>
            </w:r>
          </w:p>
          <w:p w:rsidR="00397AB6" w:rsidRPr="00B4236D" w:rsidRDefault="00397AB6" w:rsidP="002012AF">
            <w:pPr>
              <w:jc w:val="center"/>
              <w:rPr>
                <w:rFonts w:eastAsia="Calibri" w:cs="Arial"/>
                <w:szCs w:val="20"/>
              </w:rPr>
            </w:pPr>
          </w:p>
        </w:tc>
      </w:tr>
      <w:tr w:rsidR="00397AB6" w:rsidRPr="00B4236D" w:rsidTr="002012AF">
        <w:trPr>
          <w:trHeight w:val="753"/>
        </w:trPr>
        <w:tc>
          <w:tcPr>
            <w:tcW w:w="1208" w:type="pct"/>
            <w:shd w:val="pct20" w:color="000000" w:fill="FFFFFF"/>
          </w:tcPr>
          <w:p w:rsidR="00397AB6" w:rsidRPr="00B4236D" w:rsidRDefault="00397AB6" w:rsidP="002012AF">
            <w:pPr>
              <w:rPr>
                <w:rFonts w:eastAsia="Calibri" w:cs="Arial"/>
                <w:szCs w:val="20"/>
                <w:vertAlign w:val="superscript"/>
              </w:rPr>
            </w:pPr>
            <w:r w:rsidRPr="00B4236D">
              <w:rPr>
                <w:rFonts w:eastAsia="Calibri" w:cs="Arial"/>
                <w:szCs w:val="20"/>
              </w:rPr>
              <w:t>II - Deixar de entregar documentação exigida para o certame.</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2 meses</w:t>
            </w:r>
            <w:r w:rsidRPr="00B4236D">
              <w:rPr>
                <w:rFonts w:eastAsia="Calibri" w:cs="Arial"/>
                <w:szCs w:val="20"/>
                <w:vertAlign w:val="superscript"/>
              </w:rPr>
              <w:t>3</w:t>
            </w:r>
          </w:p>
        </w:tc>
        <w:tc>
          <w:tcPr>
            <w:tcW w:w="1983" w:type="pct"/>
            <w:vMerge/>
            <w:shd w:val="pct20" w:color="000000" w:fill="FFFFFF"/>
          </w:tcPr>
          <w:p w:rsidR="00397AB6" w:rsidRPr="00B4236D" w:rsidRDefault="00397AB6" w:rsidP="002012AF">
            <w:pPr>
              <w:jc w:val="both"/>
              <w:rPr>
                <w:rFonts w:eastAsia="Calibri" w:cs="Arial"/>
                <w:szCs w:val="20"/>
              </w:rPr>
            </w:pPr>
          </w:p>
        </w:tc>
        <w:tc>
          <w:tcPr>
            <w:tcW w:w="1431" w:type="pct"/>
            <w:vMerge/>
            <w:shd w:val="pct20" w:color="000000" w:fill="FFFFFF"/>
          </w:tcPr>
          <w:p w:rsidR="00397AB6" w:rsidRPr="00B4236D" w:rsidRDefault="00397AB6" w:rsidP="002012AF">
            <w:pPr>
              <w:jc w:val="center"/>
              <w:rPr>
                <w:rFonts w:eastAsia="Calibri" w:cs="Arial"/>
                <w:szCs w:val="20"/>
              </w:rPr>
            </w:pPr>
          </w:p>
        </w:tc>
      </w:tr>
      <w:tr w:rsidR="00397AB6" w:rsidRPr="00B4236D" w:rsidTr="002012AF">
        <w:trPr>
          <w:trHeight w:val="1105"/>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III - Ensejar o retardamento da execução do objeto.</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4 meses</w:t>
            </w:r>
          </w:p>
        </w:tc>
        <w:tc>
          <w:tcPr>
            <w:tcW w:w="1983" w:type="pct"/>
            <w:vMerge/>
            <w:shd w:val="pct5" w:color="000000" w:fill="FFFFFF"/>
          </w:tcPr>
          <w:p w:rsidR="00397AB6" w:rsidRPr="00B4236D" w:rsidRDefault="00397AB6" w:rsidP="002012AF">
            <w:pPr>
              <w:jc w:val="both"/>
              <w:rPr>
                <w:rFonts w:eastAsia="Calibri" w:cs="Arial"/>
                <w:szCs w:val="20"/>
              </w:rPr>
            </w:pPr>
          </w:p>
        </w:tc>
        <w:tc>
          <w:tcPr>
            <w:tcW w:w="1431" w:type="pct"/>
            <w:vMerge/>
            <w:shd w:val="pct5" w:color="000000" w:fill="FFFFFF"/>
          </w:tcPr>
          <w:p w:rsidR="00397AB6" w:rsidRPr="00B4236D" w:rsidRDefault="00397AB6" w:rsidP="002012AF">
            <w:pPr>
              <w:jc w:val="center"/>
              <w:rPr>
                <w:rFonts w:eastAsia="Calibri" w:cs="Arial"/>
                <w:szCs w:val="20"/>
              </w:rPr>
            </w:pPr>
          </w:p>
        </w:tc>
      </w:tr>
      <w:tr w:rsidR="00397AB6" w:rsidRPr="00B4236D" w:rsidTr="002012AF">
        <w:trPr>
          <w:trHeight w:val="283"/>
        </w:trPr>
        <w:tc>
          <w:tcPr>
            <w:tcW w:w="1208" w:type="pct"/>
            <w:shd w:val="pct20" w:color="000000" w:fill="FFFFFF"/>
          </w:tcPr>
          <w:p w:rsidR="00397AB6" w:rsidRPr="00B4236D" w:rsidRDefault="00397AB6" w:rsidP="002012AF">
            <w:pPr>
              <w:jc w:val="both"/>
              <w:rPr>
                <w:rFonts w:eastAsia="Calibri" w:cs="Arial"/>
                <w:szCs w:val="20"/>
              </w:rPr>
            </w:pPr>
            <w:r w:rsidRPr="00B4236D">
              <w:rPr>
                <w:rFonts w:eastAsia="Calibri" w:cs="Arial"/>
                <w:szCs w:val="20"/>
              </w:rPr>
              <w:t>IV - Não manter a proposta.</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4 meses</w:t>
            </w:r>
          </w:p>
        </w:tc>
        <w:tc>
          <w:tcPr>
            <w:tcW w:w="1983" w:type="pct"/>
            <w:vMerge/>
            <w:shd w:val="pct20" w:color="000000" w:fill="FFFFFF"/>
          </w:tcPr>
          <w:p w:rsidR="00397AB6" w:rsidRPr="00B4236D" w:rsidRDefault="00397AB6" w:rsidP="002012AF">
            <w:pPr>
              <w:jc w:val="both"/>
              <w:rPr>
                <w:rFonts w:eastAsia="Calibri" w:cs="Arial"/>
                <w:szCs w:val="20"/>
              </w:rPr>
            </w:pPr>
          </w:p>
        </w:tc>
        <w:tc>
          <w:tcPr>
            <w:tcW w:w="1431" w:type="pct"/>
            <w:vMerge/>
            <w:shd w:val="pct20" w:color="000000" w:fill="FFFFFF"/>
          </w:tcPr>
          <w:p w:rsidR="00397AB6" w:rsidRPr="00B4236D" w:rsidRDefault="00397AB6" w:rsidP="002012AF">
            <w:pPr>
              <w:jc w:val="center"/>
              <w:rPr>
                <w:rFonts w:eastAsia="Calibri" w:cs="Arial"/>
                <w:szCs w:val="20"/>
              </w:rPr>
            </w:pPr>
          </w:p>
        </w:tc>
      </w:tr>
      <w:tr w:rsidR="00397AB6" w:rsidRPr="00B4236D" w:rsidTr="002012AF">
        <w:trPr>
          <w:trHeight w:val="367"/>
        </w:trPr>
        <w:tc>
          <w:tcPr>
            <w:tcW w:w="1208" w:type="pct"/>
            <w:shd w:val="pct5" w:color="000000" w:fill="FFFFFF"/>
          </w:tcPr>
          <w:p w:rsidR="00397AB6" w:rsidRPr="00B4236D" w:rsidRDefault="00397AB6" w:rsidP="002012AF">
            <w:pPr>
              <w:jc w:val="both"/>
              <w:rPr>
                <w:rFonts w:eastAsia="Calibri" w:cs="Arial"/>
                <w:szCs w:val="20"/>
              </w:rPr>
            </w:pPr>
            <w:r w:rsidRPr="00B4236D">
              <w:rPr>
                <w:rFonts w:eastAsia="Calibri" w:cs="Arial"/>
                <w:szCs w:val="20"/>
              </w:rPr>
              <w:t>V - Fazer declaração falsa ou apresentar documentação falsa.</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24 meses</w:t>
            </w:r>
          </w:p>
        </w:tc>
        <w:tc>
          <w:tcPr>
            <w:tcW w:w="1983" w:type="pct"/>
            <w:vMerge/>
            <w:shd w:val="pct5" w:color="000000" w:fill="FFFFFF"/>
          </w:tcPr>
          <w:p w:rsidR="00397AB6" w:rsidRPr="00B4236D" w:rsidRDefault="00397AB6" w:rsidP="002012AF">
            <w:pPr>
              <w:jc w:val="both"/>
              <w:rPr>
                <w:rFonts w:eastAsia="Calibri" w:cs="Arial"/>
                <w:szCs w:val="20"/>
              </w:rPr>
            </w:pPr>
          </w:p>
        </w:tc>
        <w:tc>
          <w:tcPr>
            <w:tcW w:w="1431"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c>
          <w:tcPr>
            <w:tcW w:w="1208" w:type="pct"/>
            <w:shd w:val="pct20" w:color="000000" w:fill="FFFFFF"/>
          </w:tcPr>
          <w:p w:rsidR="00397AB6" w:rsidRPr="00B4236D" w:rsidRDefault="00397AB6" w:rsidP="002012AF">
            <w:pPr>
              <w:jc w:val="both"/>
              <w:rPr>
                <w:rFonts w:eastAsia="Calibri" w:cs="Arial"/>
                <w:szCs w:val="20"/>
              </w:rPr>
            </w:pPr>
            <w:r w:rsidRPr="00B4236D">
              <w:rPr>
                <w:rFonts w:eastAsia="Calibri" w:cs="Arial"/>
                <w:szCs w:val="20"/>
              </w:rPr>
              <w:t>VI - Falhar na execução do contrato.</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12 meses</w:t>
            </w:r>
          </w:p>
        </w:tc>
        <w:tc>
          <w:tcPr>
            <w:tcW w:w="1983" w:type="pct"/>
            <w:vMerge/>
            <w:shd w:val="pct20" w:color="000000" w:fill="FFFFFF"/>
          </w:tcPr>
          <w:p w:rsidR="00397AB6" w:rsidRPr="00B4236D" w:rsidRDefault="00397AB6" w:rsidP="002012AF">
            <w:pPr>
              <w:rPr>
                <w:rFonts w:eastAsia="Calibri" w:cs="Arial"/>
                <w:szCs w:val="20"/>
              </w:rPr>
            </w:pPr>
          </w:p>
        </w:tc>
        <w:tc>
          <w:tcPr>
            <w:tcW w:w="1431"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rPr>
          <w:trHeight w:val="94"/>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VII - Fraudar na execução do contrato.</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30 meses</w:t>
            </w:r>
          </w:p>
        </w:tc>
        <w:tc>
          <w:tcPr>
            <w:tcW w:w="1983" w:type="pct"/>
            <w:vMerge/>
            <w:shd w:val="pct5" w:color="000000" w:fill="FFFFFF"/>
          </w:tcPr>
          <w:p w:rsidR="00397AB6" w:rsidRPr="00B4236D" w:rsidRDefault="00397AB6" w:rsidP="002012AF">
            <w:pPr>
              <w:rPr>
                <w:rFonts w:eastAsia="Calibri" w:cs="Arial"/>
                <w:szCs w:val="20"/>
              </w:rPr>
            </w:pPr>
          </w:p>
        </w:tc>
        <w:tc>
          <w:tcPr>
            <w:tcW w:w="1431"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c>
          <w:tcPr>
            <w:tcW w:w="1208" w:type="pct"/>
            <w:shd w:val="pct20" w:color="000000" w:fill="FFFFFF"/>
          </w:tcPr>
          <w:p w:rsidR="00397AB6" w:rsidRPr="00B4236D" w:rsidRDefault="00397AB6" w:rsidP="002012AF">
            <w:pPr>
              <w:rPr>
                <w:rFonts w:eastAsia="Calibri" w:cs="Arial"/>
                <w:szCs w:val="20"/>
              </w:rPr>
            </w:pPr>
            <w:r w:rsidRPr="00B4236D">
              <w:rPr>
                <w:rFonts w:eastAsia="Calibri" w:cs="Arial"/>
                <w:szCs w:val="20"/>
              </w:rPr>
              <w:t>VIII - Comportar-se de modo inidôneo.</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24 meses</w:t>
            </w:r>
          </w:p>
        </w:tc>
        <w:tc>
          <w:tcPr>
            <w:tcW w:w="1983" w:type="pct"/>
            <w:vMerge/>
            <w:shd w:val="pct20" w:color="000000" w:fill="FFFFFF"/>
          </w:tcPr>
          <w:p w:rsidR="00397AB6" w:rsidRPr="00B4236D" w:rsidRDefault="00397AB6" w:rsidP="002012AF">
            <w:pPr>
              <w:rPr>
                <w:rFonts w:eastAsia="Calibri" w:cs="Arial"/>
                <w:szCs w:val="20"/>
              </w:rPr>
            </w:pPr>
          </w:p>
        </w:tc>
        <w:tc>
          <w:tcPr>
            <w:tcW w:w="1431"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rPr>
          <w:trHeight w:val="70"/>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IX - Cometer fraude fiscal.</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40 meses</w:t>
            </w:r>
          </w:p>
        </w:tc>
        <w:tc>
          <w:tcPr>
            <w:tcW w:w="1983" w:type="pct"/>
            <w:vMerge/>
            <w:shd w:val="pct5" w:color="000000" w:fill="FFFFFF"/>
          </w:tcPr>
          <w:p w:rsidR="00397AB6" w:rsidRPr="00B4236D" w:rsidRDefault="00397AB6" w:rsidP="002012AF">
            <w:pPr>
              <w:rPr>
                <w:rFonts w:eastAsia="Calibri" w:cs="Arial"/>
                <w:szCs w:val="20"/>
              </w:rPr>
            </w:pPr>
          </w:p>
        </w:tc>
        <w:tc>
          <w:tcPr>
            <w:tcW w:w="1431"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bl>
    <w:p w:rsidR="00397AB6" w:rsidRPr="00B4236D" w:rsidRDefault="00397AB6" w:rsidP="00397AB6">
      <w:pPr>
        <w:jc w:val="both"/>
        <w:rPr>
          <w:rFonts w:cs="Arial"/>
          <w:sz w:val="22"/>
          <w:szCs w:val="22"/>
        </w:rPr>
      </w:pPr>
      <w:r w:rsidRPr="00B4236D">
        <w:rPr>
          <w:rFonts w:cs="Arial"/>
          <w:b/>
          <w:sz w:val="22"/>
          <w:szCs w:val="22"/>
        </w:rPr>
        <w:t>Fonte:</w:t>
      </w:r>
      <w:r w:rsidRPr="00B4236D">
        <w:rPr>
          <w:rFonts w:cs="Arial"/>
          <w:sz w:val="22"/>
          <w:szCs w:val="22"/>
        </w:rPr>
        <w:t xml:space="preserve"> elaborado com base na Instrução Normativa nº 01, de 13 de outubro de 2017, da Presidência da República.</w:t>
      </w:r>
    </w:p>
    <w:p w:rsidR="00397AB6" w:rsidRDefault="00397AB6" w:rsidP="00397AB6">
      <w:pPr>
        <w:jc w:val="both"/>
        <w:rPr>
          <w:rFonts w:cs="Arial"/>
          <w:sz w:val="22"/>
          <w:szCs w:val="22"/>
          <w:vertAlign w:val="superscript"/>
        </w:rPr>
      </w:pPr>
    </w:p>
    <w:p w:rsidR="00397AB6" w:rsidRDefault="00397AB6" w:rsidP="00397AB6">
      <w:pPr>
        <w:jc w:val="both"/>
        <w:rPr>
          <w:rFonts w:cs="Arial"/>
          <w:sz w:val="22"/>
          <w:szCs w:val="22"/>
          <w:vertAlign w:val="superscript"/>
        </w:rPr>
      </w:pPr>
    </w:p>
    <w:p w:rsidR="00A33B3A" w:rsidRDefault="00A33B3A" w:rsidP="00397AB6">
      <w:pPr>
        <w:jc w:val="both"/>
        <w:rPr>
          <w:rFonts w:cs="Arial"/>
          <w:sz w:val="22"/>
          <w:szCs w:val="22"/>
          <w:vertAlign w:val="superscript"/>
        </w:rPr>
      </w:pPr>
    </w:p>
    <w:p w:rsidR="00397AB6" w:rsidRPr="00B4236D" w:rsidRDefault="00397AB6" w:rsidP="00397AB6">
      <w:pPr>
        <w:jc w:val="both"/>
        <w:rPr>
          <w:rFonts w:cs="Arial"/>
          <w:sz w:val="22"/>
          <w:szCs w:val="22"/>
        </w:rPr>
      </w:pPr>
      <w:r w:rsidRPr="00B4236D">
        <w:rPr>
          <w:rFonts w:cs="Arial"/>
          <w:sz w:val="22"/>
          <w:szCs w:val="22"/>
          <w:vertAlign w:val="superscript"/>
        </w:rPr>
        <w:lastRenderedPageBreak/>
        <w:t xml:space="preserve">1 </w:t>
      </w:r>
      <w:r w:rsidRPr="00B4236D">
        <w:rPr>
          <w:rFonts w:cs="Arial"/>
          <w:sz w:val="22"/>
          <w:szCs w:val="22"/>
        </w:rPr>
        <w:t>A pena base deverá ser majorada em 50% (cinquenta por cento) para cada agravante, até o limite de 60 (sessenta) meses.</w:t>
      </w:r>
    </w:p>
    <w:p w:rsidR="00397AB6" w:rsidRPr="00B4236D" w:rsidRDefault="00397AB6" w:rsidP="00397AB6">
      <w:pPr>
        <w:jc w:val="both"/>
        <w:rPr>
          <w:rFonts w:cs="Arial"/>
          <w:sz w:val="22"/>
          <w:szCs w:val="22"/>
        </w:rPr>
      </w:pPr>
      <w:proofErr w:type="gramStart"/>
      <w:r w:rsidRPr="00B4236D">
        <w:rPr>
          <w:rFonts w:cs="Arial"/>
          <w:sz w:val="22"/>
          <w:szCs w:val="22"/>
          <w:vertAlign w:val="superscript"/>
        </w:rPr>
        <w:t xml:space="preserve">2 </w:t>
      </w:r>
      <w:r w:rsidRPr="00B4236D">
        <w:rPr>
          <w:rFonts w:cs="Arial"/>
          <w:sz w:val="22"/>
          <w:szCs w:val="22"/>
        </w:rPr>
        <w:t>Para</w:t>
      </w:r>
      <w:proofErr w:type="gramEnd"/>
      <w:r w:rsidRPr="00B4236D">
        <w:rPr>
          <w:rFonts w:cs="Arial"/>
          <w:sz w:val="22"/>
          <w:szCs w:val="22"/>
        </w:rPr>
        <w:t xml:space="preserve"> as condutas I, II, III e IV, após a aplicação das possibilidades de majoração, a pena base deverá ser reduzida em 50% (cinquenta por cento), uma única vez, quando não tenha havido nenhum dano à Administração. </w:t>
      </w:r>
    </w:p>
    <w:p w:rsidR="00397AB6" w:rsidRPr="00B4236D" w:rsidRDefault="00397AB6" w:rsidP="00397AB6">
      <w:pPr>
        <w:jc w:val="both"/>
        <w:rPr>
          <w:rFonts w:cs="Arial"/>
          <w:sz w:val="22"/>
          <w:szCs w:val="22"/>
        </w:rPr>
      </w:pPr>
      <w:r w:rsidRPr="00B4236D">
        <w:rPr>
          <w:rFonts w:eastAsia="Calibri" w:cs="Arial"/>
          <w:sz w:val="22"/>
          <w:szCs w:val="22"/>
          <w:vertAlign w:val="superscript"/>
        </w:rPr>
        <w:t>3</w:t>
      </w:r>
      <w:r w:rsidRPr="00B4236D">
        <w:rPr>
          <w:rFonts w:cs="Arial"/>
          <w:sz w:val="22"/>
          <w:szCs w:val="22"/>
          <w:vertAlign w:val="superscript"/>
        </w:rPr>
        <w:t xml:space="preserve"> </w:t>
      </w:r>
      <w:r w:rsidRPr="00B4236D">
        <w:rPr>
          <w:rFonts w:cs="Arial"/>
          <w:sz w:val="22"/>
          <w:szCs w:val="22"/>
        </w:rPr>
        <w:t>A penalidade em questão será afastada quando a entrega da documentação ocorrer fora dos prazos estabelecidos, desde que não tenha acarretado prejuízos à Administração, observando-se ainda, cumulativamente, que:</w:t>
      </w:r>
    </w:p>
    <w:p w:rsidR="00397AB6" w:rsidRPr="00B4236D" w:rsidRDefault="00397AB6" w:rsidP="00397AB6">
      <w:pPr>
        <w:jc w:val="both"/>
        <w:rPr>
          <w:rFonts w:cs="Arial"/>
          <w:sz w:val="22"/>
          <w:szCs w:val="22"/>
        </w:rPr>
      </w:pPr>
      <w:r w:rsidRPr="00B4236D">
        <w:rPr>
          <w:rFonts w:cs="Arial"/>
          <w:sz w:val="22"/>
          <w:szCs w:val="22"/>
        </w:rPr>
        <w:t xml:space="preserve"> I - </w:t>
      </w:r>
      <w:proofErr w:type="gramStart"/>
      <w:r w:rsidRPr="00B4236D">
        <w:rPr>
          <w:rFonts w:cs="Arial"/>
          <w:sz w:val="22"/>
          <w:szCs w:val="22"/>
        </w:rPr>
        <w:t>a</w:t>
      </w:r>
      <w:proofErr w:type="gramEnd"/>
      <w:r w:rsidRPr="00B4236D">
        <w:rPr>
          <w:rFonts w:cs="Arial"/>
          <w:sz w:val="22"/>
          <w:szCs w:val="22"/>
        </w:rPr>
        <w:t xml:space="preserve"> documentação entregue esteja correta e adequada ao que fora solicitado;</w:t>
      </w:r>
    </w:p>
    <w:p w:rsidR="00397AB6" w:rsidRPr="00B4236D" w:rsidRDefault="00397AB6" w:rsidP="00397AB6">
      <w:pPr>
        <w:jc w:val="both"/>
        <w:rPr>
          <w:rFonts w:cs="Arial"/>
          <w:sz w:val="22"/>
          <w:szCs w:val="22"/>
        </w:rPr>
      </w:pPr>
      <w:r w:rsidRPr="00B4236D">
        <w:rPr>
          <w:rFonts w:cs="Arial"/>
          <w:sz w:val="22"/>
          <w:szCs w:val="22"/>
        </w:rPr>
        <w:t xml:space="preserve"> II - </w:t>
      </w:r>
      <w:proofErr w:type="gramStart"/>
      <w:r w:rsidRPr="00B4236D">
        <w:rPr>
          <w:rFonts w:cs="Arial"/>
          <w:sz w:val="22"/>
          <w:szCs w:val="22"/>
        </w:rPr>
        <w:t>o</w:t>
      </w:r>
      <w:proofErr w:type="gramEnd"/>
      <w:r w:rsidRPr="00B4236D">
        <w:rPr>
          <w:rFonts w:cs="Arial"/>
          <w:sz w:val="22"/>
          <w:szCs w:val="22"/>
        </w:rPr>
        <w:t xml:space="preserve"> eventual atraso no cumprimento dos prazos não seja superior a sua quarta parte;</w:t>
      </w:r>
    </w:p>
    <w:p w:rsidR="00397AB6" w:rsidRPr="00B4236D" w:rsidRDefault="00397AB6" w:rsidP="00397AB6">
      <w:pPr>
        <w:jc w:val="both"/>
        <w:rPr>
          <w:rFonts w:cs="Arial"/>
          <w:sz w:val="22"/>
          <w:szCs w:val="22"/>
        </w:rPr>
      </w:pPr>
      <w:r w:rsidRPr="00B4236D">
        <w:rPr>
          <w:rFonts w:cs="Arial"/>
          <w:sz w:val="22"/>
          <w:szCs w:val="22"/>
        </w:rPr>
        <w:t xml:space="preserve"> III - não tenha ocorrido nenhuma solicitação de prorrogação dos prazos;</w:t>
      </w:r>
    </w:p>
    <w:p w:rsidR="00397AB6" w:rsidRPr="00B4236D" w:rsidRDefault="00397AB6" w:rsidP="00397AB6">
      <w:pPr>
        <w:jc w:val="both"/>
        <w:rPr>
          <w:rFonts w:cs="Arial"/>
          <w:sz w:val="22"/>
          <w:szCs w:val="22"/>
        </w:rPr>
      </w:pPr>
      <w:r w:rsidRPr="00B4236D">
        <w:rPr>
          <w:rFonts w:cs="Arial"/>
          <w:sz w:val="22"/>
          <w:szCs w:val="22"/>
        </w:rPr>
        <w:t xml:space="preserve"> IV - </w:t>
      </w:r>
      <w:proofErr w:type="gramStart"/>
      <w:r w:rsidRPr="00B4236D">
        <w:rPr>
          <w:rFonts w:cs="Arial"/>
          <w:sz w:val="22"/>
          <w:szCs w:val="22"/>
        </w:rPr>
        <w:t>não</w:t>
      </w:r>
      <w:proofErr w:type="gramEnd"/>
      <w:r w:rsidRPr="00B4236D">
        <w:rPr>
          <w:rFonts w:cs="Arial"/>
          <w:sz w:val="22"/>
          <w:szCs w:val="22"/>
        </w:rPr>
        <w:t xml:space="preserve"> tenha ocorrido nenhuma hipótese de agravantes prevista no art. 3º; e</w:t>
      </w:r>
    </w:p>
    <w:p w:rsidR="00397AB6" w:rsidRDefault="00397AB6" w:rsidP="00397AB6">
      <w:pPr>
        <w:jc w:val="both"/>
        <w:rPr>
          <w:rFonts w:cs="Arial"/>
          <w:sz w:val="22"/>
          <w:szCs w:val="22"/>
        </w:rPr>
      </w:pPr>
      <w:r w:rsidRPr="00B4236D">
        <w:rPr>
          <w:rFonts w:cs="Arial"/>
          <w:sz w:val="22"/>
          <w:szCs w:val="22"/>
        </w:rPr>
        <w:t xml:space="preserve"> V - </w:t>
      </w:r>
      <w:proofErr w:type="gramStart"/>
      <w:r w:rsidRPr="00B4236D">
        <w:rPr>
          <w:rFonts w:cs="Arial"/>
          <w:sz w:val="22"/>
          <w:szCs w:val="22"/>
        </w:rPr>
        <w:t>o</w:t>
      </w:r>
      <w:proofErr w:type="gramEnd"/>
      <w:r w:rsidRPr="00B4236D">
        <w:rPr>
          <w:rFonts w:cs="Arial"/>
          <w:sz w:val="22"/>
          <w:szCs w:val="22"/>
        </w:rPr>
        <w:t xml:space="preserve"> licitante faltoso não tenha sofrido registro de penalidade no SICAF em decorrência da prática de quaisquer condutas tipificadas na presente norma em procedimentos licitatórios ou em contratações ocorridas nos 12 (doze) meses que antecederam o fato em razão do qual será aplicada a penalidade.</w:t>
      </w:r>
    </w:p>
    <w:p w:rsidR="00A33B3A" w:rsidRPr="00B4236D" w:rsidRDefault="00A33B3A" w:rsidP="00397AB6">
      <w:pPr>
        <w:jc w:val="both"/>
        <w:rPr>
          <w:rFonts w:cs="Arial"/>
          <w:sz w:val="22"/>
          <w:szCs w:val="22"/>
        </w:rPr>
      </w:pPr>
    </w:p>
    <w:p w:rsidR="00397AB6" w:rsidRPr="00B4236D" w:rsidRDefault="00397AB6" w:rsidP="00397AB6">
      <w:pPr>
        <w:rPr>
          <w:rFonts w:cs="Arial"/>
          <w:b/>
          <w:color w:val="333333"/>
          <w:spacing w:val="3"/>
          <w:sz w:val="22"/>
          <w:szCs w:val="22"/>
          <w:shd w:val="clear" w:color="auto" w:fill="FFFFFF"/>
        </w:rPr>
      </w:pPr>
      <w:r w:rsidRPr="00B4236D">
        <w:rPr>
          <w:rFonts w:cs="Arial"/>
          <w:b/>
          <w:color w:val="333333"/>
          <w:spacing w:val="3"/>
          <w:sz w:val="22"/>
          <w:szCs w:val="22"/>
          <w:shd w:val="clear" w:color="auto" w:fill="FFFFFF"/>
        </w:rPr>
        <w:t>Para os fins deste anexo, considera-se:</w:t>
      </w:r>
    </w:p>
    <w:p w:rsidR="00397AB6" w:rsidRPr="00B4236D" w:rsidRDefault="00397AB6" w:rsidP="00397AB6">
      <w:pPr>
        <w:jc w:val="both"/>
        <w:rPr>
          <w:rFonts w:cs="Arial"/>
          <w:sz w:val="22"/>
          <w:szCs w:val="22"/>
        </w:rPr>
      </w:pPr>
      <w:r w:rsidRPr="00B4236D">
        <w:rPr>
          <w:rFonts w:cs="Arial"/>
          <w:sz w:val="22"/>
          <w:szCs w:val="22"/>
        </w:rPr>
        <w:t xml:space="preserve">I - </w:t>
      </w:r>
      <w:proofErr w:type="gramStart"/>
      <w:r w:rsidRPr="00B4236D">
        <w:rPr>
          <w:rFonts w:cs="Arial"/>
          <w:sz w:val="22"/>
          <w:szCs w:val="22"/>
        </w:rPr>
        <w:t>retardar</w:t>
      </w:r>
      <w:proofErr w:type="gramEnd"/>
      <w:r w:rsidRPr="00B4236D">
        <w:rPr>
          <w:rFonts w:cs="Arial"/>
          <w:sz w:val="22"/>
          <w:szCs w:val="22"/>
        </w:rPr>
        <w:t xml:space="preserve"> a execução do objeto qualquer ação ou omissão do licitante que prejudique o bom andamento da licitação, inclusive deixar de entregar a amostra no prazo assinalado no edital, que evidencie tentativa de indução a erro no julgamento, ou que atrase a assinatura do contrato ou da ata de registro de preços;</w:t>
      </w:r>
    </w:p>
    <w:p w:rsidR="00397AB6" w:rsidRPr="00B4236D" w:rsidRDefault="00397AB6" w:rsidP="00397AB6">
      <w:pPr>
        <w:jc w:val="both"/>
        <w:rPr>
          <w:rFonts w:cs="Arial"/>
          <w:sz w:val="22"/>
          <w:szCs w:val="22"/>
        </w:rPr>
      </w:pPr>
      <w:r w:rsidRPr="00B4236D">
        <w:rPr>
          <w:rFonts w:cs="Arial"/>
          <w:sz w:val="22"/>
          <w:szCs w:val="22"/>
        </w:rPr>
        <w:t xml:space="preserve"> </w:t>
      </w:r>
    </w:p>
    <w:p w:rsidR="00397AB6" w:rsidRPr="00B4236D" w:rsidRDefault="00397AB6" w:rsidP="00397AB6">
      <w:pPr>
        <w:jc w:val="both"/>
        <w:rPr>
          <w:rFonts w:cs="Arial"/>
          <w:sz w:val="22"/>
          <w:szCs w:val="22"/>
        </w:rPr>
      </w:pPr>
      <w:r w:rsidRPr="00B4236D">
        <w:rPr>
          <w:rFonts w:cs="Arial"/>
          <w:sz w:val="22"/>
          <w:szCs w:val="22"/>
        </w:rPr>
        <w:t xml:space="preserve">II - </w:t>
      </w:r>
      <w:proofErr w:type="gramStart"/>
      <w:r w:rsidRPr="00B4236D">
        <w:rPr>
          <w:rFonts w:cs="Arial"/>
          <w:sz w:val="22"/>
          <w:szCs w:val="22"/>
        </w:rPr>
        <w:t>não</w:t>
      </w:r>
      <w:proofErr w:type="gramEnd"/>
      <w:r w:rsidRPr="00B4236D">
        <w:rPr>
          <w:rFonts w:cs="Arial"/>
          <w:sz w:val="22"/>
          <w:szCs w:val="22"/>
        </w:rPr>
        <w:t xml:space="preserve"> manter a proposta a ausência de seu envio, bem como a recusa do envio de seu detalhamento, quando exigível, ou ainda o pedido, pelo licitante, da desclassificação de sua proposta, quando encerrada a etapa competitiva, desde que não esteja fundamentada na demonstração de vício ou falha na sua elaboração, que evidencie a impossibilidade de seu cumprimento;</w:t>
      </w:r>
    </w:p>
    <w:p w:rsidR="00397AB6" w:rsidRPr="00B4236D" w:rsidRDefault="00397AB6" w:rsidP="00397AB6">
      <w:pPr>
        <w:jc w:val="both"/>
        <w:rPr>
          <w:rFonts w:cs="Arial"/>
          <w:sz w:val="22"/>
          <w:szCs w:val="22"/>
        </w:rPr>
      </w:pPr>
    </w:p>
    <w:p w:rsidR="00397AB6" w:rsidRPr="00B4236D" w:rsidRDefault="00397AB6" w:rsidP="00397AB6">
      <w:pPr>
        <w:jc w:val="both"/>
        <w:rPr>
          <w:rFonts w:cs="Arial"/>
          <w:sz w:val="22"/>
          <w:szCs w:val="22"/>
        </w:rPr>
      </w:pPr>
      <w:r w:rsidRPr="00B4236D">
        <w:rPr>
          <w:rFonts w:cs="Arial"/>
          <w:sz w:val="22"/>
          <w:szCs w:val="22"/>
        </w:rPr>
        <w:t>III - falhar na execução contratual o inadimplemento grave ou inescusável de obrigação assumida pelo contratado;</w:t>
      </w:r>
    </w:p>
    <w:p w:rsidR="00397AB6" w:rsidRPr="00B4236D" w:rsidRDefault="00397AB6" w:rsidP="00397AB6">
      <w:pPr>
        <w:jc w:val="both"/>
        <w:rPr>
          <w:rFonts w:cs="Arial"/>
          <w:sz w:val="22"/>
          <w:szCs w:val="22"/>
        </w:rPr>
      </w:pPr>
    </w:p>
    <w:p w:rsidR="00397AB6" w:rsidRPr="00B4236D" w:rsidRDefault="00397AB6" w:rsidP="00397AB6">
      <w:pPr>
        <w:jc w:val="both"/>
        <w:rPr>
          <w:rFonts w:cs="Arial"/>
          <w:sz w:val="22"/>
          <w:szCs w:val="22"/>
        </w:rPr>
      </w:pPr>
      <w:r w:rsidRPr="00B4236D">
        <w:rPr>
          <w:rFonts w:cs="Arial"/>
          <w:sz w:val="22"/>
          <w:szCs w:val="22"/>
        </w:rPr>
        <w:t xml:space="preserve">IV - </w:t>
      </w:r>
      <w:proofErr w:type="gramStart"/>
      <w:r w:rsidRPr="00B4236D">
        <w:rPr>
          <w:rFonts w:cs="Arial"/>
          <w:sz w:val="22"/>
          <w:szCs w:val="22"/>
        </w:rPr>
        <w:t>fraudar</w:t>
      </w:r>
      <w:proofErr w:type="gramEnd"/>
      <w:r w:rsidRPr="00B4236D">
        <w:rPr>
          <w:rFonts w:cs="Arial"/>
          <w:sz w:val="22"/>
          <w:szCs w:val="22"/>
        </w:rPr>
        <w:t xml:space="preserve"> na execução contratual a prática de qualquer ato destinado à obtenção de vantagem ilícita, induzindo ou mantendo em</w:t>
      </w:r>
      <w:r w:rsidR="00A33B3A">
        <w:rPr>
          <w:rFonts w:cs="Arial"/>
          <w:sz w:val="22"/>
          <w:szCs w:val="22"/>
        </w:rPr>
        <w:t xml:space="preserve"> erro a Administração Pública; </w:t>
      </w:r>
    </w:p>
    <w:p w:rsidR="00397AB6" w:rsidRPr="00B4236D" w:rsidRDefault="00397AB6" w:rsidP="00397AB6">
      <w:pPr>
        <w:jc w:val="both"/>
        <w:rPr>
          <w:rFonts w:cs="Arial"/>
          <w:sz w:val="22"/>
          <w:szCs w:val="22"/>
        </w:rPr>
      </w:pPr>
    </w:p>
    <w:p w:rsidR="00397AB6" w:rsidRDefault="00397AB6" w:rsidP="00397AB6">
      <w:pPr>
        <w:jc w:val="both"/>
        <w:rPr>
          <w:rFonts w:cs="Arial"/>
          <w:sz w:val="22"/>
          <w:szCs w:val="22"/>
        </w:rPr>
      </w:pPr>
      <w:r w:rsidRPr="00B4236D">
        <w:rPr>
          <w:rFonts w:cs="Arial"/>
          <w:sz w:val="22"/>
          <w:szCs w:val="22"/>
        </w:rPr>
        <w:t xml:space="preserve">V - </w:t>
      </w:r>
      <w:proofErr w:type="gramStart"/>
      <w:r w:rsidRPr="00B4236D">
        <w:rPr>
          <w:rFonts w:cs="Arial"/>
          <w:sz w:val="22"/>
          <w:szCs w:val="22"/>
        </w:rPr>
        <w:t>comportar-se</w:t>
      </w:r>
      <w:proofErr w:type="gramEnd"/>
      <w:r w:rsidRPr="00B4236D">
        <w:rPr>
          <w:rFonts w:cs="Arial"/>
          <w:sz w:val="22"/>
          <w:szCs w:val="22"/>
        </w:rPr>
        <w:t xml:space="preserve"> de modo inidôneo a prática de atos direcionados a prejudicar o bom andamento do certame ou do contrato, tais como a fraude ou frustração do caráter competitivo do procedimento licitatório, ação em conluio ou em desconformidade com a lei, indução deliberada a erro no julgamento, prestação falsa de informações, apresentação de documentação com informações inverídicas, ou que contenha emenda ou rasura, destinados a prejudicar a veracidade de seu teor original.</w:t>
      </w:r>
    </w:p>
    <w:p w:rsidR="00370D49" w:rsidRDefault="00397AB6" w:rsidP="00A33B3A">
      <w:pPr>
        <w:jc w:val="both"/>
      </w:pPr>
      <w:r w:rsidRPr="00B4236D">
        <w:rPr>
          <w:rFonts w:cs="Arial"/>
          <w:b/>
          <w:sz w:val="22"/>
          <w:szCs w:val="22"/>
        </w:rPr>
        <w:t>Obs. Quando a ação ou omissão do licitante ou contratante ensejar o enquadramento de concurso de condutas, aplicar-se-á a pena mais grave.</w:t>
      </w:r>
    </w:p>
    <w:sectPr w:rsidR="00370D49" w:rsidSect="00397AB6">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AB6"/>
    <w:rsid w:val="00397AB6"/>
    <w:rsid w:val="005B568B"/>
    <w:rsid w:val="0096071C"/>
    <w:rsid w:val="009B7DB6"/>
    <w:rsid w:val="00A33B3A"/>
    <w:rsid w:val="00BB5B8C"/>
    <w:rsid w:val="00F804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02EE0-6767-41EB-8A2F-22B5E7491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AB6"/>
    <w:pPr>
      <w:spacing w:after="0" w:line="240" w:lineRule="auto"/>
    </w:pPr>
    <w:rPr>
      <w:rFonts w:ascii="Arial" w:eastAsia="Times New Roman" w:hAnsi="Arial" w:cs="Tahoma"/>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397AB6"/>
    <w:pPr>
      <w:ind w:left="720"/>
      <w:contextualSpacing/>
    </w:pPr>
  </w:style>
  <w:style w:type="paragraph" w:styleId="Textodebalo">
    <w:name w:val="Balloon Text"/>
    <w:basedOn w:val="Normal"/>
    <w:link w:val="TextodebaloChar"/>
    <w:uiPriority w:val="99"/>
    <w:semiHidden/>
    <w:unhideWhenUsed/>
    <w:rsid w:val="00A33B3A"/>
    <w:rPr>
      <w:rFonts w:ascii="Segoe UI" w:hAnsi="Segoe UI" w:cs="Segoe UI"/>
      <w:sz w:val="18"/>
      <w:szCs w:val="18"/>
    </w:rPr>
  </w:style>
  <w:style w:type="character" w:customStyle="1" w:styleId="TextodebaloChar">
    <w:name w:val="Texto de balão Char"/>
    <w:basedOn w:val="Fontepargpadro"/>
    <w:link w:val="Textodebalo"/>
    <w:uiPriority w:val="99"/>
    <w:semiHidden/>
    <w:rsid w:val="00A33B3A"/>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2B8F52F-7E9A-4B3D-A528-7B55C2E6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4206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Tust Rodrigues</dc:creator>
  <cp:keywords/>
  <dc:description/>
  <cp:lastModifiedBy>Simone Magali Marinho Jardim</cp:lastModifiedBy>
  <cp:revision>2</cp:revision>
  <cp:lastPrinted>2017-11-09T12:13:00Z</cp:lastPrinted>
  <dcterms:created xsi:type="dcterms:W3CDTF">2018-03-01T14:52:00Z</dcterms:created>
  <dcterms:modified xsi:type="dcterms:W3CDTF">2018-03-01T14:52:00Z</dcterms:modified>
</cp:coreProperties>
</file>