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eastAsia="Arial" w:cs="Arial"/>
          <w:b/>
          <w:b/>
          <w:color w:val="000000"/>
          <w:sz w:val="20"/>
          <w:szCs w:val="20"/>
          <w:highlight w:val="white"/>
        </w:rPr>
      </w:pPr>
      <w:r>
        <w:rPr>
          <w:rFonts w:eastAsia="Arial" w:cs="Arial" w:ascii="Arial" w:hAnsi="Arial"/>
          <w:b/>
          <w:color w:val="000000"/>
          <w:sz w:val="20"/>
          <w:szCs w:val="20"/>
          <w:highlight w:val="white"/>
        </w:rPr>
        <w:drawing>
          <wp:anchor behindDoc="0" distT="0" distB="101600" distL="0" distR="0" simplePos="0" locked="0" layoutInCell="1" allowOverlap="1" relativeHeight="2">
            <wp:simplePos x="0" y="0"/>
            <wp:positionH relativeFrom="column">
              <wp:posOffset>783590</wp:posOffset>
            </wp:positionH>
            <wp:positionV relativeFrom="paragraph">
              <wp:posOffset>-95250</wp:posOffset>
            </wp:positionV>
            <wp:extent cx="3833495" cy="150241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49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ind w:left="720" w:hanging="0"/>
        <w:rPr>
          <w:rFonts w:ascii="Arial" w:hAnsi="Arial" w:eastAsia="Arial" w:cs="Arial"/>
          <w:b/>
          <w:b/>
          <w:color w:val="000000"/>
          <w:sz w:val="20"/>
          <w:szCs w:val="20"/>
          <w:highlight w:val="white"/>
        </w:rPr>
      </w:pPr>
      <w:r>
        <w:rPr>
          <w:rFonts w:eastAsia="Arial" w:cs="Arial" w:ascii="Arial" w:hAnsi="Arial"/>
          <w:b/>
          <w:color w:val="000000"/>
          <w:sz w:val="20"/>
          <w:szCs w:val="20"/>
          <w:highlight w:val="white"/>
        </w:rPr>
      </w:r>
    </w:p>
    <w:p>
      <w:pPr>
        <w:pStyle w:val="Normal"/>
        <w:widowControl/>
        <w:bidi w:val="0"/>
        <w:ind w:left="340" w:right="0" w:hanging="0"/>
        <w:jc w:val="center"/>
        <w:rPr/>
      </w:pPr>
      <w:r>
        <w:rPr>
          <w:rFonts w:eastAsia="Arial" w:cs="Arial" w:ascii="Arial" w:hAnsi="Arial"/>
          <w:b/>
          <w:color w:val="000000"/>
          <w:sz w:val="28"/>
          <w:szCs w:val="28"/>
          <w:highlight w:val="white"/>
        </w:rPr>
        <w:br/>
        <w:br/>
        <w:br/>
        <w:br/>
        <w:br/>
        <w:br/>
        <w:br/>
        <w:t xml:space="preserve">Ações de Permanência e </w:t>
      </w:r>
      <w:r>
        <w:rPr>
          <w:rFonts w:eastAsia="Arial" w:cs="Arial" w:ascii="Arial" w:hAnsi="Arial"/>
          <w:b/>
          <w:color w:val="000000"/>
          <w:sz w:val="28"/>
          <w:szCs w:val="28"/>
          <w:highlight w:val="white"/>
        </w:rPr>
        <w:t>Ê</w:t>
      </w:r>
      <w:r>
        <w:rPr>
          <w:rFonts w:eastAsia="Arial" w:cs="Arial" w:ascii="Arial" w:hAnsi="Arial"/>
          <w:b/>
          <w:color w:val="000000"/>
          <w:sz w:val="28"/>
          <w:szCs w:val="28"/>
          <w:highlight w:val="white"/>
        </w:rPr>
        <w:t>xito – 2022 –</w:t>
        <w:br/>
        <w:t>Câmpus Novo Hamburgo</w:t>
      </w:r>
    </w:p>
    <w:p>
      <w:pPr>
        <w:pStyle w:val="Normal"/>
        <w:jc w:val="center"/>
        <w:rPr>
          <w:rFonts w:ascii="Arial" w:hAnsi="Arial" w:eastAsia="Arial" w:cs="Arial"/>
          <w:b/>
          <w:b/>
          <w:sz w:val="28"/>
          <w:szCs w:val="28"/>
          <w:highlight w:val="white"/>
        </w:rPr>
      </w:pPr>
      <w:r>
        <w:rPr>
          <w:rFonts w:eastAsia="Arial" w:cs="Arial" w:ascii="Arial" w:hAnsi="Arial"/>
          <w:b/>
          <w:sz w:val="28"/>
          <w:szCs w:val="28"/>
          <w:highlight w:val="white"/>
        </w:rPr>
      </w:r>
    </w:p>
    <w:tbl>
      <w:tblPr>
        <w:tblStyle w:val="a1"/>
        <w:tblW w:w="8460" w:type="dxa"/>
        <w:jc w:val="left"/>
        <w:tblInd w:w="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499"/>
        <w:gridCol w:w="3960"/>
      </w:tblGrid>
      <w:tr>
        <w:trPr/>
        <w:tc>
          <w:tcPr>
            <w:tcW w:w="4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  <w:highlight w:val="white"/>
              </w:rPr>
              <w:t>AÇÕES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  <w:highlight w:val="white"/>
              </w:rPr>
              <w:t>RISCOS</w:t>
            </w:r>
          </w:p>
        </w:tc>
      </w:tr>
      <w:tr>
        <w:trPr/>
        <w:tc>
          <w:tcPr>
            <w:tcW w:w="4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 xml:space="preserve">Na área da Assistência Estudantil, foi ofertado aos estudantes: 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 xml:space="preserve">Auxílio Alimentação, 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Auxílio Transporte;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Bolsa Única;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Auxílio Conectividade;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Auxílio Emergencial Temporário;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160"/>
              <w:rPr/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Auxílio Material Escolar.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Falta de recursos para atender toda a demanda</w:t>
            </w:r>
          </w:p>
        </w:tc>
      </w:tr>
      <w:tr>
        <w:trPr/>
        <w:tc>
          <w:tcPr>
            <w:tcW w:w="4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Reunião com pais (Integrado) para dialogar sobre as dificuldades dos estudantes e buscar possíveis soluções como, por exemplo, maior observação e acompanhamento aos estudantes.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Pouca presença por parte dos pais;</w:t>
            </w:r>
          </w:p>
        </w:tc>
      </w:tr>
      <w:tr>
        <w:trPr/>
        <w:tc>
          <w:tcPr>
            <w:tcW w:w="4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Semana de acolhida aos novos estudantes;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Pouco envolvimento da equipe de servidores para a organização das atividades de acolhida aos novos estudantes;</w:t>
            </w:r>
          </w:p>
        </w:tc>
      </w:tr>
      <w:tr>
        <w:trPr>
          <w:trHeight w:val="1210" w:hRule="atLeast"/>
        </w:trPr>
        <w:tc>
          <w:tcPr>
            <w:tcW w:w="4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Atendimento da psicopedagoga  aos estudantes com dificuldades de aprendizagem e com deficiência.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Encaminhamento tardio por parte da equipe docente. Resistência dos estudantes em receber o atendimento, mais comum com discentes adultos;</w:t>
            </w:r>
          </w:p>
        </w:tc>
      </w:tr>
      <w:tr>
        <w:trPr>
          <w:trHeight w:val="1210" w:hRule="atLeast"/>
        </w:trPr>
        <w:tc>
          <w:tcPr>
            <w:tcW w:w="4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Atuação efetiva do Grêmio Estudantil, apoiando as atividades desenvolvidas no Câmpus e criando outras.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Pouco engajamento pelos estudantes</w:t>
            </w:r>
          </w:p>
        </w:tc>
      </w:tr>
      <w:tr>
        <w:trPr/>
        <w:tc>
          <w:tcPr>
            <w:tcW w:w="4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Orientação pedagógica para docentes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Resistência dos docentes em refletir sobre a própria prática pedagógica;</w:t>
            </w:r>
          </w:p>
        </w:tc>
      </w:tr>
      <w:tr>
        <w:trPr/>
        <w:tc>
          <w:tcPr>
            <w:tcW w:w="4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Acompanhamento semanal de frequência dos estudantes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Dificuldade de conseguir contato;</w:t>
            </w:r>
          </w:p>
        </w:tc>
      </w:tr>
      <w:tr>
        <w:trPr/>
        <w:tc>
          <w:tcPr>
            <w:tcW w:w="4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Atividades coletivas pedagógicas com as turmas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Baixa participação dos estudantes;</w:t>
            </w:r>
          </w:p>
        </w:tc>
      </w:tr>
      <w:tr>
        <w:trPr/>
        <w:tc>
          <w:tcPr>
            <w:tcW w:w="4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Reuniões Diálogos: Encontros semanais com equipe pedagógica e equipe docente para mapeamento de estudantes com baixa frequência e dificuldades de aprendizagem. Após a identificação destes, a equipe pedagógica acompanhada de pelo menos um docente realiza o atendimento online do estudante e familiar, em caso de menor de idade, com o objetivo de estabelecer parcerias com a família facilitando a permanência e êxito dos estudantes.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Baixo engajamento de alguns docentes na participação dos atendimentos;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Dificuldades em sensibilizar algumas famílias e por consequência materializar os acordos pedagógicos realizados junto à escola.</w:t>
            </w:r>
          </w:p>
        </w:tc>
      </w:tr>
      <w:tr>
        <w:trPr/>
        <w:tc>
          <w:tcPr>
            <w:tcW w:w="4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Ciclo de palestras aos estudantes sobre prevenção ao suicídio, contra a discriminação e preconceito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Baixa participação dos estudantes</w:t>
            </w:r>
          </w:p>
        </w:tc>
      </w:tr>
      <w:tr>
        <w:trPr/>
        <w:tc>
          <w:tcPr>
            <w:tcW w:w="4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 xml:space="preserve">Projeto de extensão IFgênia que mobiliza a reflexão sobre a emancipação das mulheres, contemplando também as questões da participação das   meninas  na ciência 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Pouco tempo para trabalhar no projeto</w:t>
            </w:r>
          </w:p>
        </w:tc>
      </w:tr>
      <w:tr>
        <w:trPr/>
        <w:tc>
          <w:tcPr>
            <w:tcW w:w="4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Projeto de extensão “espaço de arte” , integrando escola e comunidade, reafirmando a importância da arte e cultura.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Baixa participação dos estudantes</w:t>
            </w:r>
          </w:p>
        </w:tc>
      </w:tr>
      <w:tr>
        <w:trPr/>
        <w:tc>
          <w:tcPr>
            <w:tcW w:w="4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Participação em eventos esportivos dentro e fora da Instituição.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Falta de orçamento para  aquisição  dos materiais necessários para a prática de esportes variados e participação em competições.</w:t>
            </w:r>
          </w:p>
        </w:tc>
      </w:tr>
      <w:tr>
        <w:trPr/>
        <w:tc>
          <w:tcPr>
            <w:tcW w:w="4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 xml:space="preserve">Processos de acompanhamento das dificuldades de aprendizagem e desempenho escolar: </w:t>
            </w:r>
          </w:p>
          <w:p>
            <w:pPr>
              <w:pStyle w:val="Normal"/>
              <w:spacing w:before="0" w:after="160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Baixo número de profissionais habilitados para essa atividade - Pedagogos</w:t>
            </w:r>
          </w:p>
        </w:tc>
      </w:tr>
      <w:tr>
        <w:trPr/>
        <w:tc>
          <w:tcPr>
            <w:tcW w:w="4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Visitas técnicas e saídas de campo.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Limitações orçamentais.</w:t>
            </w:r>
          </w:p>
        </w:tc>
      </w:tr>
      <w:tr>
        <w:trPr/>
        <w:tc>
          <w:tcPr>
            <w:tcW w:w="4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Oferta de atendimento individualizado semanal do professor aos estudantes no turno contrário aos das aulas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 xml:space="preserve">Baixa participação dos estudantes. </w:t>
            </w:r>
          </w:p>
        </w:tc>
      </w:tr>
      <w:tr>
        <w:trPr/>
        <w:tc>
          <w:tcPr>
            <w:tcW w:w="4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Buscar alunos infrequentes através de ligação telefônica feita pelo setor pedagógico, com registro em ficha do mesmo;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Os docentes não se informarem com o setor pedagógico sobre a situação desses estudantes;</w:t>
            </w:r>
          </w:p>
        </w:tc>
      </w:tr>
      <w:tr>
        <w:trPr/>
        <w:tc>
          <w:tcPr>
            <w:tcW w:w="4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 xml:space="preserve">Incentivos à pesquisa e extensão; </w:t>
            </w:r>
          </w:p>
          <w:p>
            <w:pPr>
              <w:pStyle w:val="Normal"/>
              <w:spacing w:before="0" w:after="160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 xml:space="preserve">Baixo número de bolsas para estudantes </w:t>
            </w:r>
          </w:p>
        </w:tc>
      </w:tr>
      <w:tr>
        <w:trPr/>
        <w:tc>
          <w:tcPr>
            <w:tcW w:w="4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Conselho de classe;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Retorno docente apenas sobre aspecto quantitativo dos processos avaliativos dos estudantes;</w:t>
            </w:r>
          </w:p>
        </w:tc>
      </w:tr>
      <w:tr>
        <w:trPr/>
        <w:tc>
          <w:tcPr>
            <w:tcW w:w="4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Apresentação dos cursos, no início de cada semestre;</w:t>
            </w:r>
          </w:p>
          <w:p>
            <w:pPr>
              <w:pStyle w:val="Normal"/>
              <w:spacing w:before="0" w:after="160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Baixa adesão dos estudantes</w:t>
            </w:r>
          </w:p>
        </w:tc>
      </w:tr>
      <w:tr>
        <w:trPr/>
        <w:tc>
          <w:tcPr>
            <w:tcW w:w="4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Projeto de ensino de nivelamento na área da Matemática;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Baixa adesão dos estudantes;</w:t>
            </w:r>
          </w:p>
        </w:tc>
      </w:tr>
      <w:tr>
        <w:trPr/>
        <w:tc>
          <w:tcPr>
            <w:tcW w:w="4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Construção de ficha diagnóstica de orientação escolar para conhecer a realidade e dificuldades dos estudantes;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Baixa procura e pouco conhecimento por parte dos docentes;</w:t>
            </w:r>
          </w:p>
        </w:tc>
      </w:tr>
      <w:tr>
        <w:trPr/>
        <w:tc>
          <w:tcPr>
            <w:tcW w:w="4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Reuniões pedagógicas formativas mensais</w:t>
            </w:r>
          </w:p>
          <w:p>
            <w:pPr>
              <w:pStyle w:val="Normal"/>
              <w:spacing w:before="0" w:after="160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Baixa adesão por parte dos docentes;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rFonts w:cs="Noto Sans Symbol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BR" w:eastAsia="pt-BR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9372a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A"/>
      <w:sz w:val="22"/>
      <w:szCs w:val="22"/>
      <w:lang w:val="pt-BR" w:eastAsia="pt-BR" w:bidi="ar-SA"/>
    </w:rPr>
  </w:style>
  <w:style w:type="paragraph" w:styleId="Ttulo1">
    <w:name w:val="Título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Título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Título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Título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Título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Título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 w:eastAsia="Noto Sans Symbols" w:cs="Noto Sans Symbols"/>
      <w:sz w:val="20"/>
    </w:rPr>
  </w:style>
  <w:style w:type="character" w:styleId="ListLabel2">
    <w:name w:val="ListLabel 2"/>
    <w:qFormat/>
    <w:rPr>
      <w:rFonts w:eastAsia="Courier New" w:cs="Courier New"/>
    </w:rPr>
  </w:style>
  <w:style w:type="character" w:styleId="ListLabel3">
    <w:name w:val="ListLabel 3"/>
    <w:qFormat/>
    <w:rPr>
      <w:rFonts w:cs="Noto Sans Symbols"/>
      <w:sz w:val="20"/>
    </w:rPr>
  </w:style>
  <w:style w:type="character" w:styleId="ListLabel4">
    <w:name w:val="ListLabel 4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Lucida 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ítulo do documento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9372a"/>
    <w:pPr>
      <w:spacing w:before="0" w:after="160"/>
      <w:ind w:left="720" w:hanging="0"/>
      <w:contextualSpacing/>
    </w:pPr>
    <w:rPr/>
  </w:style>
  <w:style w:type="paragraph" w:styleId="Subttulo">
    <w:name w:val="Subtítulo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qFormat/>
    <w:rsid w:val="00b442b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937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A+bIN+LUD/xLN0cSKIqKo4N97Ag==">AMUW2mXBzjl8EET7eb51kZiJ1S2Da+4xddCgOMJozR30wtJIy8bB0EtX0E5QufcC4lV1K2tifDb7Dc8a6hp+7M6aHhHO5d6GyYCL9AQVWM/Jl6K6uJlWi/aKU5lCZWB8XXLPs6TUFZgN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LibreOffice/5.0.4.2$Windows_x86 LibreOffice_project/2b9802c1994aa0b7dc6079e128979269cf95bc78</Application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2023-01-23T21:17:00Z</dcterms:created>
  <dc:creator>cotin</dc:creator>
  <dc:language>pt-BR</dc:language>
  <dcterms:modified xsi:type="dcterms:W3CDTF">2023-01-23T19:11:37Z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