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19C" w:rsidRDefault="00890785">
      <w:pPr>
        <w:jc w:val="center"/>
        <w:rPr>
          <w:rFonts w:ascii="Roboto" w:eastAsia="Roboto" w:hAnsi="Roboto" w:cs="Roboto"/>
          <w:b/>
          <w:bCs/>
          <w:sz w:val="26"/>
          <w:szCs w:val="26"/>
        </w:rPr>
      </w:pPr>
      <w:bookmarkStart w:id="0" w:name="_GoBack"/>
      <w:bookmarkEnd w:id="0"/>
      <w:r>
        <w:rPr>
          <w:rFonts w:ascii="Roboto" w:eastAsia="Roboto" w:hAnsi="Roboto" w:cs="Roboto"/>
          <w:b/>
          <w:bCs/>
          <w:sz w:val="26"/>
          <w:szCs w:val="26"/>
        </w:rPr>
        <w:t xml:space="preserve">Quadro de referência para o edital do PGD 2.0 | PROEN </w:t>
      </w:r>
    </w:p>
    <w:p w:rsidR="00C3119C" w:rsidRDefault="00C3119C">
      <w:pPr>
        <w:jc w:val="center"/>
        <w:rPr>
          <w:rFonts w:ascii="Roboto" w:eastAsia="Roboto" w:hAnsi="Roboto" w:cs="Roboto"/>
          <w:b/>
          <w:bCs/>
          <w:sz w:val="26"/>
          <w:szCs w:val="26"/>
        </w:rPr>
      </w:pPr>
    </w:p>
    <w:tbl>
      <w:tblPr>
        <w:tblStyle w:val="a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20"/>
        <w:gridCol w:w="2685"/>
        <w:gridCol w:w="1305"/>
        <w:gridCol w:w="1065"/>
        <w:gridCol w:w="1125"/>
        <w:gridCol w:w="1500"/>
      </w:tblGrid>
      <w:tr w:rsidR="00C3119C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b/>
                <w:bCs/>
                <w:sz w:val="20"/>
                <w:szCs w:val="20"/>
              </w:rPr>
            </w:pPr>
            <w:r>
              <w:rPr>
                <w:rFonts w:ascii="Roboto" w:eastAsia="Roboto" w:hAnsi="Roboto" w:cs="Roboto"/>
                <w:b/>
                <w:bCs/>
                <w:sz w:val="20"/>
                <w:szCs w:val="20"/>
              </w:rPr>
              <w:t>Setor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b/>
                <w:bCs/>
                <w:sz w:val="20"/>
                <w:szCs w:val="20"/>
              </w:rPr>
            </w:pPr>
            <w:r>
              <w:rPr>
                <w:rFonts w:ascii="Roboto" w:eastAsia="Roboto" w:hAnsi="Roboto" w:cs="Roboto"/>
                <w:b/>
                <w:bCs/>
                <w:sz w:val="20"/>
                <w:szCs w:val="20"/>
              </w:rPr>
              <w:t>Perfil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b/>
                <w:bCs/>
                <w:sz w:val="20"/>
                <w:szCs w:val="20"/>
              </w:rPr>
            </w:pPr>
            <w:r>
              <w:rPr>
                <w:rFonts w:ascii="Roboto" w:eastAsia="Roboto" w:hAnsi="Roboto" w:cs="Roboto"/>
                <w:b/>
                <w:bCs/>
                <w:sz w:val="20"/>
                <w:szCs w:val="20"/>
              </w:rPr>
              <w:t>Regime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b/>
                <w:bCs/>
                <w:sz w:val="20"/>
                <w:szCs w:val="20"/>
              </w:rPr>
            </w:pPr>
            <w:r>
              <w:rPr>
                <w:rFonts w:ascii="Roboto" w:eastAsia="Roboto" w:hAnsi="Roboto" w:cs="Roboto"/>
                <w:b/>
                <w:bCs/>
                <w:sz w:val="20"/>
                <w:szCs w:val="20"/>
              </w:rPr>
              <w:t>Vagas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b/>
                <w:bCs/>
                <w:sz w:val="20"/>
                <w:szCs w:val="20"/>
              </w:rPr>
            </w:pPr>
            <w:r>
              <w:rPr>
                <w:rFonts w:ascii="Roboto" w:eastAsia="Roboto" w:hAnsi="Roboto" w:cs="Roboto"/>
                <w:b/>
                <w:bCs/>
                <w:sz w:val="20"/>
                <w:szCs w:val="20"/>
              </w:rPr>
              <w:t>Código de vaga</w:t>
            </w: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b/>
                <w:bCs/>
                <w:sz w:val="20"/>
                <w:szCs w:val="20"/>
              </w:rPr>
            </w:pPr>
            <w:r>
              <w:rPr>
                <w:rFonts w:ascii="Roboto" w:eastAsia="Roboto" w:hAnsi="Roboto" w:cs="Roboto"/>
                <w:b/>
                <w:bCs/>
                <w:sz w:val="20"/>
                <w:szCs w:val="20"/>
              </w:rPr>
              <w:t>Percentual de carga horária semanal presencial no regime parcial</w:t>
            </w:r>
          </w:p>
        </w:tc>
      </w:tr>
      <w:tr w:rsidR="00C3119C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b/>
                <w:bCs/>
                <w:sz w:val="20"/>
                <w:szCs w:val="20"/>
              </w:rPr>
            </w:pPr>
            <w:r>
              <w:rPr>
                <w:rFonts w:ascii="Roboto" w:eastAsia="Roboto" w:hAnsi="Roboto" w:cs="Roboto"/>
                <w:b/>
                <w:bCs/>
                <w:sz w:val="20"/>
                <w:szCs w:val="20"/>
              </w:rPr>
              <w:t>PROEN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20"/>
                <w:szCs w:val="20"/>
              </w:rPr>
            </w:pPr>
            <w:r>
              <w:t>—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20"/>
                <w:szCs w:val="20"/>
              </w:rPr>
            </w:pPr>
            <w:r>
              <w:t>—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20"/>
                <w:szCs w:val="20"/>
              </w:rPr>
            </w:pPr>
            <w:r>
              <w:t>—</w:t>
            </w:r>
          </w:p>
        </w:tc>
      </w:tr>
      <w:tr w:rsidR="00C3119C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DEGAE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20"/>
                <w:szCs w:val="20"/>
              </w:rPr>
            </w:pPr>
            <w:r>
              <w:t>—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20"/>
                <w:szCs w:val="20"/>
              </w:rPr>
            </w:pPr>
            <w:r>
              <w:t>—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20"/>
                <w:szCs w:val="20"/>
              </w:rPr>
            </w:pPr>
            <w:r>
              <w:t>—</w:t>
            </w:r>
          </w:p>
        </w:tc>
      </w:tr>
      <w:tr w:rsidR="00C3119C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CAPAE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 xml:space="preserve">Gestão Administrativa Sistêmica da Assistência Estudantil do </w:t>
            </w:r>
            <w:proofErr w:type="spellStart"/>
            <w:r>
              <w:rPr>
                <w:rFonts w:ascii="Roboto" w:eastAsia="Roboto" w:hAnsi="Roboto" w:cs="Roboto"/>
                <w:sz w:val="20"/>
                <w:szCs w:val="20"/>
              </w:rPr>
              <w:t>IFSul</w:t>
            </w:r>
            <w:proofErr w:type="spellEnd"/>
            <w:r>
              <w:rPr>
                <w:rFonts w:ascii="Roboto" w:eastAsia="Roboto" w:hAnsi="Roboto" w:cs="Roboto"/>
                <w:sz w:val="20"/>
                <w:szCs w:val="20"/>
              </w:rPr>
              <w:t xml:space="preserve"> e de programas governamentais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Parcial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2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60%</w:t>
            </w:r>
          </w:p>
        </w:tc>
      </w:tr>
      <w:tr w:rsidR="00C3119C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CAE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 xml:space="preserve">Coordenação de proposição, implementação e monitoramento de ações da Política de Assistência Estudantil do </w:t>
            </w:r>
            <w:proofErr w:type="spellStart"/>
            <w:r>
              <w:rPr>
                <w:rFonts w:ascii="Roboto" w:eastAsia="Roboto" w:hAnsi="Roboto" w:cs="Roboto"/>
                <w:sz w:val="20"/>
                <w:szCs w:val="20"/>
              </w:rPr>
              <w:t>IFSul</w:t>
            </w:r>
            <w:proofErr w:type="spellEnd"/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Gestão sistêmica de políticas, programas e ações no âmbito da saúde mental da</w:t>
            </w: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proofErr w:type="gramStart"/>
            <w:r>
              <w:rPr>
                <w:rFonts w:ascii="Roboto" w:eastAsia="Roboto" w:hAnsi="Roboto" w:cs="Roboto"/>
                <w:sz w:val="20"/>
                <w:szCs w:val="20"/>
              </w:rPr>
              <w:t>comunidade</w:t>
            </w:r>
            <w:proofErr w:type="gramEnd"/>
            <w:r>
              <w:rPr>
                <w:rFonts w:ascii="Roboto" w:eastAsia="Roboto" w:hAnsi="Roboto" w:cs="Roboto"/>
                <w:sz w:val="20"/>
                <w:szCs w:val="20"/>
              </w:rPr>
              <w:t xml:space="preserve"> estudantil do </w:t>
            </w:r>
            <w:proofErr w:type="spellStart"/>
            <w:r>
              <w:rPr>
                <w:rFonts w:ascii="Roboto" w:eastAsia="Roboto" w:hAnsi="Roboto" w:cs="Roboto"/>
                <w:sz w:val="20"/>
                <w:szCs w:val="20"/>
              </w:rPr>
              <w:t>IFSul</w:t>
            </w:r>
            <w:proofErr w:type="spellEnd"/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Parcial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2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60%</w:t>
            </w:r>
          </w:p>
        </w:tc>
      </w:tr>
      <w:tr w:rsidR="00C3119C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DES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before="1"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Gestão financeira e administrativa dos processos seletivos e concursos</w:t>
            </w:r>
          </w:p>
          <w:p w:rsidR="00C3119C" w:rsidRDefault="00C3119C">
            <w:pPr>
              <w:widowControl w:val="0"/>
              <w:spacing w:line="112" w:lineRule="auto"/>
              <w:ind w:left="95"/>
              <w:rPr>
                <w:rFonts w:ascii="Roboto" w:eastAsia="Roboto" w:hAnsi="Roboto" w:cs="Roboto"/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Parcial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04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50%</w:t>
            </w:r>
          </w:p>
        </w:tc>
      </w:tr>
      <w:tr w:rsidR="00C3119C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CPS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before="1"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Coordenação financeira e administrativa dos processos seletivos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Parcial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01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50%</w:t>
            </w:r>
          </w:p>
        </w:tc>
      </w:tr>
      <w:tr w:rsidR="00C3119C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DETE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before="1"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 xml:space="preserve">Apoio aos processos administrativos no âmbito da </w:t>
            </w:r>
            <w:proofErr w:type="spellStart"/>
            <w:r>
              <w:rPr>
                <w:rFonts w:ascii="Roboto" w:eastAsia="Roboto" w:hAnsi="Roboto" w:cs="Roboto"/>
                <w:sz w:val="20"/>
                <w:szCs w:val="20"/>
              </w:rPr>
              <w:t>EaD</w:t>
            </w:r>
            <w:proofErr w:type="spellEnd"/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Parcial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01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30%</w:t>
            </w:r>
          </w:p>
        </w:tc>
      </w:tr>
      <w:tr w:rsidR="00C3119C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COPES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Gestão administrativa e financeira de projetos da PROEN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Parcial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01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50%</w:t>
            </w:r>
          </w:p>
        </w:tc>
      </w:tr>
      <w:tr w:rsidR="00C3119C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color w:val="1155CC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1155CC"/>
                <w:sz w:val="20"/>
                <w:szCs w:val="20"/>
              </w:rPr>
              <w:t>IF-</w:t>
            </w:r>
            <w:proofErr w:type="spellStart"/>
            <w:r>
              <w:rPr>
                <w:rFonts w:ascii="Roboto" w:eastAsia="Roboto" w:hAnsi="Roboto" w:cs="Roboto"/>
                <w:color w:val="1155CC"/>
                <w:sz w:val="20"/>
                <w:szCs w:val="20"/>
              </w:rPr>
              <w:t>Dirpei</w:t>
            </w:r>
            <w:proofErr w:type="spellEnd"/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color w:val="1155CC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1155CC"/>
                <w:sz w:val="20"/>
                <w:szCs w:val="20"/>
              </w:rPr>
              <w:t>Diretoria de Políticas de Ensino e Inclusão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before="1" w:line="240" w:lineRule="auto"/>
            </w:pPr>
            <w:r>
              <w:rPr>
                <w:rFonts w:ascii="Roboto" w:eastAsia="Roboto" w:hAnsi="Roboto" w:cs="Roboto"/>
                <w:sz w:val="20"/>
                <w:szCs w:val="20"/>
              </w:rPr>
              <w:t xml:space="preserve">Apoio à gestão administrativa 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Parcial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01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50%</w:t>
            </w:r>
          </w:p>
        </w:tc>
      </w:tr>
      <w:tr w:rsidR="00C3119C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line="240" w:lineRule="auto"/>
              <w:rPr>
                <w:rFonts w:ascii="Roboto" w:eastAsia="Roboto" w:hAnsi="Roboto" w:cs="Roboto"/>
                <w:color w:val="1155CC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1155CC"/>
                <w:sz w:val="20"/>
                <w:szCs w:val="20"/>
              </w:rPr>
              <w:t>IF-</w:t>
            </w:r>
            <w:proofErr w:type="spellStart"/>
            <w:r>
              <w:rPr>
                <w:rFonts w:ascii="Roboto" w:eastAsia="Roboto" w:hAnsi="Roboto" w:cs="Roboto"/>
                <w:color w:val="1155CC"/>
                <w:sz w:val="20"/>
                <w:szCs w:val="20"/>
              </w:rPr>
              <w:t>Dirpei</w:t>
            </w:r>
            <w:proofErr w:type="spellEnd"/>
          </w:p>
          <w:p w:rsidR="00C3119C" w:rsidRDefault="00890785">
            <w:pPr>
              <w:widowControl w:val="0"/>
              <w:spacing w:line="240" w:lineRule="auto"/>
              <w:rPr>
                <w:color w:val="1155CC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1155CC"/>
                <w:sz w:val="20"/>
                <w:szCs w:val="20"/>
              </w:rPr>
              <w:t xml:space="preserve">Diretoria de Políticas de </w:t>
            </w:r>
            <w:r>
              <w:rPr>
                <w:rFonts w:ascii="Roboto" w:eastAsia="Roboto" w:hAnsi="Roboto" w:cs="Roboto"/>
                <w:color w:val="1155CC"/>
                <w:sz w:val="20"/>
                <w:szCs w:val="20"/>
              </w:rPr>
              <w:lastRenderedPageBreak/>
              <w:t>Ensino e Inclusão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before="1" w:line="240" w:lineRule="auto"/>
            </w:pPr>
            <w:r>
              <w:rPr>
                <w:rFonts w:ascii="Roboto" w:eastAsia="Roboto" w:hAnsi="Roboto" w:cs="Roboto"/>
                <w:sz w:val="20"/>
                <w:szCs w:val="20"/>
              </w:rPr>
              <w:lastRenderedPageBreak/>
              <w:t>Apoio à gestão administrativa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Integral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01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0%</w:t>
            </w:r>
          </w:p>
        </w:tc>
      </w:tr>
      <w:tr w:rsidR="00C3119C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1155CC"/>
                <w:sz w:val="20"/>
                <w:szCs w:val="20"/>
              </w:rPr>
            </w:pPr>
            <w:r>
              <w:rPr>
                <w:color w:val="1155CC"/>
                <w:sz w:val="20"/>
                <w:szCs w:val="20"/>
              </w:rPr>
              <w:lastRenderedPageBreak/>
              <w:t>DEPEI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line="240" w:lineRule="auto"/>
              <w:jc w:val="center"/>
            </w:pPr>
            <w:r>
              <w:t>—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—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line="240" w:lineRule="auto"/>
              <w:jc w:val="center"/>
            </w:pPr>
            <w:r>
              <w:t>—</w:t>
            </w:r>
          </w:p>
        </w:tc>
      </w:tr>
      <w:tr w:rsidR="00C3119C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1155CC"/>
                <w:sz w:val="20"/>
                <w:szCs w:val="20"/>
              </w:rPr>
            </w:pPr>
            <w:proofErr w:type="spellStart"/>
            <w:r>
              <w:rPr>
                <w:color w:val="1155CC"/>
                <w:sz w:val="20"/>
                <w:szCs w:val="20"/>
              </w:rPr>
              <w:t>Napne</w:t>
            </w:r>
            <w:proofErr w:type="spellEnd"/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Coordenação </w:t>
            </w:r>
            <w:proofErr w:type="gramStart"/>
            <w:r>
              <w:rPr>
                <w:sz w:val="20"/>
                <w:szCs w:val="20"/>
              </w:rPr>
              <w:t>de  ações</w:t>
            </w:r>
            <w:proofErr w:type="gramEnd"/>
            <w:r>
              <w:rPr>
                <w:sz w:val="20"/>
                <w:szCs w:val="20"/>
              </w:rPr>
              <w:t xml:space="preserve"> de apoio  e acompanhamento às/aos estudantes, servidoras e servidores com necessidades específicas. 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Parcial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40%</w:t>
            </w:r>
          </w:p>
        </w:tc>
      </w:tr>
      <w:tr w:rsidR="00C3119C">
        <w:trPr>
          <w:trHeight w:val="420"/>
        </w:trPr>
        <w:tc>
          <w:tcPr>
            <w:tcW w:w="13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1155CC"/>
                <w:sz w:val="20"/>
                <w:szCs w:val="20"/>
              </w:rPr>
            </w:pPr>
            <w:r>
              <w:rPr>
                <w:color w:val="1155CC"/>
                <w:sz w:val="20"/>
                <w:szCs w:val="20"/>
              </w:rPr>
              <w:t>CSRA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Gestão dos registros acadêmicos e fornecimento de dados para apoio à tomada de decisões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50%</w:t>
            </w:r>
          </w:p>
        </w:tc>
      </w:tr>
      <w:tr w:rsidR="00C3119C">
        <w:trPr>
          <w:trHeight w:val="420"/>
        </w:trPr>
        <w:tc>
          <w:tcPr>
            <w:tcW w:w="13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Suporte operacional aos registros acadêmicos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50%</w:t>
            </w:r>
          </w:p>
        </w:tc>
      </w:tr>
      <w:tr w:rsidR="00C3119C">
        <w:trPr>
          <w:trHeight w:val="420"/>
        </w:trPr>
        <w:tc>
          <w:tcPr>
            <w:tcW w:w="13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1155CC"/>
                <w:sz w:val="20"/>
                <w:szCs w:val="20"/>
              </w:rPr>
            </w:pPr>
            <w:r>
              <w:rPr>
                <w:color w:val="1155CC"/>
                <w:sz w:val="20"/>
                <w:szCs w:val="20"/>
              </w:rPr>
              <w:t>CAPED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Coordenação das atividades pedagógicas e administrativas no âmbito da Coordenadoria de Apoio Pedagógico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50%</w:t>
            </w:r>
          </w:p>
        </w:tc>
      </w:tr>
      <w:tr w:rsidR="00C3119C">
        <w:trPr>
          <w:trHeight w:val="420"/>
        </w:trPr>
        <w:tc>
          <w:tcPr>
            <w:tcW w:w="13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Atividades de apoio pedagógico e administrativo junto à Coordenadoria de Apoio Pedagógico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50%</w:t>
            </w:r>
          </w:p>
        </w:tc>
      </w:tr>
      <w:tr w:rsidR="00C3119C">
        <w:trPr>
          <w:trHeight w:val="2255"/>
        </w:trPr>
        <w:tc>
          <w:tcPr>
            <w:tcW w:w="1320" w:type="dxa"/>
            <w:vMerge w:val="restart"/>
          </w:tcPr>
          <w:p w:rsidR="00C3119C" w:rsidRDefault="00890785">
            <w:pPr>
              <w:widowControl w:val="0"/>
              <w:spacing w:line="240" w:lineRule="auto"/>
              <w:rPr>
                <w:color w:val="1155CC"/>
                <w:sz w:val="20"/>
                <w:szCs w:val="20"/>
              </w:rPr>
            </w:pPr>
            <w:r>
              <w:rPr>
                <w:color w:val="1155CC"/>
                <w:sz w:val="20"/>
                <w:szCs w:val="20"/>
              </w:rPr>
              <w:t>COGRAD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Coordenação das atividades pedagógicas e administrativas no âmbito da Coordenadoria de Graduação</w:t>
            </w:r>
          </w:p>
        </w:tc>
        <w:tc>
          <w:tcPr>
            <w:tcW w:w="1305" w:type="dxa"/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065" w:type="dxa"/>
          </w:tcPr>
          <w:p w:rsidR="00C3119C" w:rsidRDefault="00C311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C3119C" w:rsidRDefault="0089078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125" w:type="dxa"/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</w:tcPr>
          <w:p w:rsidR="00C3119C" w:rsidRDefault="00C311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C3119C" w:rsidRDefault="0089078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50%</w:t>
            </w:r>
          </w:p>
        </w:tc>
      </w:tr>
      <w:tr w:rsidR="00C3119C">
        <w:trPr>
          <w:trHeight w:val="1116"/>
        </w:trPr>
        <w:tc>
          <w:tcPr>
            <w:tcW w:w="13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Atividades de apoio pedagógico e administrativo no âmbito da Coordenadoria de Graduação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0%</w:t>
            </w:r>
          </w:p>
        </w:tc>
      </w:tr>
      <w:tr w:rsidR="00C3119C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1155CC"/>
                <w:sz w:val="20"/>
                <w:szCs w:val="20"/>
              </w:rPr>
            </w:pPr>
            <w:r>
              <w:rPr>
                <w:color w:val="1155CC"/>
                <w:sz w:val="20"/>
                <w:szCs w:val="20"/>
              </w:rPr>
              <w:t>Pesquisa Institucional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89078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Gestão dos sistemas governamentais da área educacional e fornecimento de dados para apoio à tomada de decisões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119C" w:rsidRDefault="00C31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3119C" w:rsidRDefault="008907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50%</w:t>
            </w:r>
          </w:p>
        </w:tc>
      </w:tr>
    </w:tbl>
    <w:p w:rsidR="00C3119C" w:rsidRDefault="00C3119C"/>
    <w:sectPr w:rsidR="00C3119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default"/>
    <w:embedRegular r:id="rId1" w:fontKey="{64CAF953-E0BE-481A-8CE6-08834145D1A1}"/>
    <w:embedBold r:id="rId2" w:fontKey="{B54BA012-BAE8-4689-9299-765D93EA7D0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19107BC5-5F93-46D5-9576-11D0707F36A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501D6543-9398-41A8-B4AE-C1B3E7A3757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9C"/>
    <w:rsid w:val="00497511"/>
    <w:rsid w:val="0084408C"/>
    <w:rsid w:val="00890785"/>
    <w:rsid w:val="00C3119C"/>
    <w:rsid w:val="00CA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314CDB-6496-4696-9EA8-5D9649400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Fabiola Mattos Pereira</dc:creator>
  <cp:lastModifiedBy>Helio Vera Mandeco</cp:lastModifiedBy>
  <cp:revision>2</cp:revision>
  <dcterms:created xsi:type="dcterms:W3CDTF">2025-12-29T13:26:00Z</dcterms:created>
  <dcterms:modified xsi:type="dcterms:W3CDTF">2025-12-29T13:26:00Z</dcterms:modified>
</cp:coreProperties>
</file>